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31D77">
      <w:pPr>
        <w:adjustRightInd w:val="0"/>
        <w:snapToGrid w:val="0"/>
        <w:spacing w:line="240" w:lineRule="atLeast"/>
        <w:rPr>
          <w:rFonts w:hint="eastAsia" w:ascii="黑体" w:hAnsi="黑体" w:eastAsia="黑体" w:cs="黑体"/>
          <w:sz w:val="20"/>
          <w:szCs w:val="20"/>
        </w:rPr>
      </w:pPr>
      <w:r>
        <w:rPr>
          <w:rFonts w:ascii="Times New Roman" w:hAnsi="Times New Roman" w:eastAsia="黑体" w:cs="Times New Roman"/>
          <w:sz w:val="20"/>
          <w:szCs w:val="20"/>
        </w:rPr>
        <w:t>ICS</w:t>
      </w:r>
      <w:r>
        <w:rPr>
          <w:rFonts w:hint="eastAsia" w:ascii="黑体" w:hAnsi="黑体" w:eastAsia="黑体" w:cs="黑体"/>
          <w:sz w:val="20"/>
          <w:szCs w:val="20"/>
        </w:rPr>
        <w:t xml:space="preserve"> 67.080.10</w:t>
      </w:r>
    </w:p>
    <w:p w14:paraId="48DE0DF6">
      <w:pPr>
        <w:adjustRightInd w:val="0"/>
        <w:snapToGrid w:val="0"/>
        <w:spacing w:line="240" w:lineRule="atLeast"/>
        <w:rPr>
          <w:rFonts w:hint="eastAsia" w:ascii="黑体" w:hAnsi="黑体" w:eastAsia="黑体" w:cs="黑体"/>
          <w:sz w:val="20"/>
          <w:szCs w:val="20"/>
        </w:rPr>
      </w:pPr>
      <w:r>
        <w:rPr>
          <w:rFonts w:hint="eastAsia" w:ascii="黑体" w:hAnsi="黑体" w:eastAsia="黑体" w:cs="黑体"/>
          <w:sz w:val="20"/>
          <w:szCs w:val="20"/>
        </w:rPr>
        <w:t>B 31</w:t>
      </w:r>
    </w:p>
    <w:p w14:paraId="09CA64E5">
      <w:pPr>
        <w:adjustRightInd w:val="0"/>
        <w:snapToGrid w:val="0"/>
        <w:spacing w:line="240" w:lineRule="atLeast"/>
        <w:jc w:val="right"/>
        <w:rPr>
          <w:rFonts w:ascii="Times New Roman" w:hAnsi="Times New Roman" w:eastAsia="黑体" w:cs="Times New Roman"/>
          <w:b/>
          <w:bCs/>
          <w:sz w:val="96"/>
          <w:szCs w:val="96"/>
        </w:rPr>
      </w:pPr>
      <w:r>
        <w:rPr>
          <w:rFonts w:ascii="Times New Roman" w:hAnsi="Times New Roman" w:eastAsia="黑体" w:cs="Times New Roman"/>
          <w:b/>
          <w:bCs/>
          <w:sz w:val="96"/>
          <w:szCs w:val="96"/>
        </w:rPr>
        <w:t>T/SZNB</w:t>
      </w:r>
    </w:p>
    <w:p w14:paraId="348D6674">
      <w:pPr>
        <w:adjustRightInd w:val="0"/>
        <w:snapToGrid w:val="0"/>
        <w:spacing w:line="240" w:lineRule="atLeast"/>
        <w:jc w:val="distribute"/>
        <w:rPr>
          <w:rFonts w:ascii="Times New Roman" w:hAnsi="Times New Roman" w:eastAsia="黑体" w:cs="Times New Roman"/>
          <w:b/>
          <w:bCs/>
          <w:sz w:val="72"/>
          <w:szCs w:val="72"/>
        </w:rPr>
      </w:pPr>
      <w:r>
        <w:rPr>
          <w:rFonts w:hint="eastAsia" w:ascii="Times New Roman" w:hAnsi="Times New Roman" w:eastAsia="黑体" w:cs="Times New Roman"/>
          <w:b/>
          <w:bCs/>
          <w:sz w:val="72"/>
          <w:szCs w:val="72"/>
        </w:rPr>
        <w:t>团体标准</w:t>
      </w:r>
    </w:p>
    <w:p w14:paraId="2FA05200">
      <w:pPr>
        <w:wordWrap w:val="0"/>
        <w:adjustRightInd w:val="0"/>
        <w:snapToGrid w:val="0"/>
        <w:spacing w:line="240" w:lineRule="atLeast"/>
        <w:jc w:val="right"/>
        <w:rPr>
          <w:rFonts w:ascii="Times New Roman" w:hAnsi="Times New Roman" w:eastAsia="黑体" w:cs="Times New Roman"/>
          <w:b/>
          <w:bCs/>
          <w:sz w:val="28"/>
          <w:szCs w:val="28"/>
        </w:rPr>
      </w:pPr>
    </w:p>
    <w:p w14:paraId="34768605">
      <w:pPr>
        <w:wordWrap w:val="0"/>
        <w:adjustRightInd w:val="0"/>
        <w:snapToGrid w:val="0"/>
        <w:spacing w:line="240" w:lineRule="atLeast"/>
        <w:jc w:val="right"/>
        <w:rPr>
          <w:rFonts w:ascii="Times New Roman" w:hAnsi="Times New Roman" w:eastAsia="黑体" w:cs="Times New Roman"/>
          <w:b/>
          <w:bCs/>
          <w:sz w:val="28"/>
          <w:szCs w:val="28"/>
        </w:rPr>
      </w:pPr>
      <w:r>
        <w:rPr>
          <w:rFonts w:hint="eastAsia" w:ascii="Times New Roman" w:hAnsi="Times New Roman" w:eastAsia="黑体" w:cs="Times New Roman"/>
          <w:sz w:val="28"/>
          <w:szCs w:val="28"/>
        </w:rPr>
        <w:t>T/SZNB XXX</w:t>
      </w:r>
      <w:bookmarkStart w:id="0" w:name="_Hlk193632131"/>
      <w:r>
        <w:rPr>
          <w:rFonts w:hint="eastAsia" w:ascii="Times New Roman" w:hAnsi="Times New Roman" w:eastAsia="黑体" w:cs="Times New Roman"/>
          <w:sz w:val="28"/>
          <w:szCs w:val="28"/>
        </w:rPr>
        <w:t>XX</w:t>
      </w:r>
      <w:bookmarkEnd w:id="0"/>
      <w:r>
        <w:rPr>
          <w:rFonts w:hint="eastAsia" w:ascii="Times New Roman" w:hAnsi="Times New Roman" w:eastAsia="黑体" w:cs="Times New Roman"/>
          <w:sz w:val="28"/>
          <w:szCs w:val="28"/>
        </w:rPr>
        <w:t>-XXXX</w:t>
      </w:r>
    </w:p>
    <w:p w14:paraId="42003440">
      <w:pPr>
        <w:adjustRightInd w:val="0"/>
        <w:snapToGrid w:val="0"/>
        <w:spacing w:line="240" w:lineRule="atLeast"/>
        <w:jc w:val="left"/>
        <w:rPr>
          <w:rFonts w:ascii="Times New Roman" w:hAnsi="Times New Roman" w:eastAsia="黑体" w:cs="Times New Roman"/>
          <w:b/>
          <w:bCs/>
          <w:sz w:val="28"/>
          <w:szCs w:val="28"/>
        </w:rPr>
      </w:pPr>
      <w:r>
        <w:rPr>
          <w:rFonts w:hint="eastAsia" w:ascii="Times New Roman" w:hAnsi="Times New Roman" w:eastAsia="黑体" w:cs="Times New Roman"/>
          <w:b/>
          <w:bCs/>
          <w:sz w:val="28"/>
          <w:szCs w:val="28"/>
          <w:u w:val="single"/>
        </w:rPr>
        <w:t xml:space="preserve">                                                                      </w:t>
      </w:r>
    </w:p>
    <w:p w14:paraId="1CE14B33">
      <w:pPr>
        <w:adjustRightInd w:val="0"/>
        <w:snapToGrid w:val="0"/>
        <w:spacing w:line="240" w:lineRule="atLeast"/>
        <w:jc w:val="left"/>
        <w:rPr>
          <w:rFonts w:ascii="Times New Roman" w:hAnsi="Times New Roman" w:eastAsia="黑体" w:cs="Times New Roman"/>
          <w:b/>
          <w:bCs/>
          <w:sz w:val="28"/>
          <w:szCs w:val="28"/>
        </w:rPr>
      </w:pPr>
    </w:p>
    <w:p w14:paraId="0A0EB61A">
      <w:pPr>
        <w:adjustRightInd w:val="0"/>
        <w:snapToGrid w:val="0"/>
        <w:spacing w:line="240" w:lineRule="atLeast"/>
        <w:jc w:val="left"/>
        <w:rPr>
          <w:rFonts w:ascii="Times New Roman" w:hAnsi="Times New Roman" w:eastAsia="黑体" w:cs="Times New Roman"/>
          <w:b/>
          <w:bCs/>
          <w:sz w:val="28"/>
          <w:szCs w:val="28"/>
        </w:rPr>
      </w:pPr>
    </w:p>
    <w:p w14:paraId="716CBD5D">
      <w:pPr>
        <w:adjustRightInd w:val="0"/>
        <w:snapToGrid w:val="0"/>
        <w:spacing w:line="240" w:lineRule="atLeast"/>
        <w:jc w:val="left"/>
        <w:rPr>
          <w:rFonts w:ascii="Times New Roman" w:hAnsi="Times New Roman" w:eastAsia="黑体" w:cs="Times New Roman"/>
          <w:b/>
          <w:bCs/>
          <w:sz w:val="28"/>
          <w:szCs w:val="28"/>
        </w:rPr>
      </w:pPr>
    </w:p>
    <w:p w14:paraId="73A98248">
      <w:pPr>
        <w:adjustRightInd w:val="0"/>
        <w:snapToGrid w:val="0"/>
        <w:spacing w:line="240" w:lineRule="atLeast"/>
        <w:jc w:val="left"/>
        <w:rPr>
          <w:rFonts w:ascii="Times New Roman" w:hAnsi="Times New Roman" w:eastAsia="黑体" w:cs="Times New Roman"/>
          <w:b/>
          <w:bCs/>
          <w:sz w:val="28"/>
          <w:szCs w:val="28"/>
        </w:rPr>
      </w:pPr>
    </w:p>
    <w:p w14:paraId="48F7FAC4">
      <w:pPr>
        <w:adjustRightInd w:val="0"/>
        <w:snapToGrid w:val="0"/>
        <w:spacing w:line="240" w:lineRule="atLeast"/>
        <w:jc w:val="left"/>
        <w:rPr>
          <w:rFonts w:ascii="Times New Roman" w:hAnsi="Times New Roman" w:eastAsia="黑体" w:cs="Times New Roman"/>
          <w:b/>
          <w:bCs/>
          <w:sz w:val="28"/>
          <w:szCs w:val="28"/>
        </w:rPr>
      </w:pPr>
    </w:p>
    <w:p w14:paraId="6C5C1FB8">
      <w:pPr>
        <w:adjustRightInd w:val="0"/>
        <w:snapToGrid w:val="0"/>
        <w:spacing w:line="240" w:lineRule="atLeast"/>
        <w:jc w:val="left"/>
        <w:rPr>
          <w:rFonts w:ascii="Times New Roman" w:hAnsi="Times New Roman" w:eastAsia="黑体" w:cs="Times New Roman"/>
          <w:b/>
          <w:bCs/>
          <w:sz w:val="28"/>
          <w:szCs w:val="28"/>
        </w:rPr>
      </w:pPr>
    </w:p>
    <w:p w14:paraId="365F817C">
      <w:pPr>
        <w:adjustRightInd w:val="0"/>
        <w:snapToGrid w:val="0"/>
        <w:spacing w:line="240" w:lineRule="atLeast"/>
        <w:jc w:val="left"/>
        <w:rPr>
          <w:rFonts w:ascii="Times New Roman" w:hAnsi="Times New Roman" w:eastAsia="黑体" w:cs="Times New Roman"/>
          <w:b/>
          <w:bCs/>
          <w:sz w:val="28"/>
          <w:szCs w:val="28"/>
        </w:rPr>
      </w:pPr>
    </w:p>
    <w:p w14:paraId="08F74286">
      <w:pPr>
        <w:adjustRightInd w:val="0"/>
        <w:snapToGrid w:val="0"/>
        <w:spacing w:line="240" w:lineRule="atLeast"/>
        <w:jc w:val="left"/>
        <w:rPr>
          <w:rFonts w:ascii="Times New Roman" w:hAnsi="Times New Roman" w:eastAsia="黑体" w:cs="Times New Roman"/>
          <w:b/>
          <w:bCs/>
          <w:sz w:val="28"/>
          <w:szCs w:val="28"/>
        </w:rPr>
      </w:pPr>
    </w:p>
    <w:p w14:paraId="10BFC54E">
      <w:pPr>
        <w:adjustRightInd w:val="0"/>
        <w:snapToGrid w:val="0"/>
        <w:spacing w:line="240" w:lineRule="atLeast"/>
        <w:jc w:val="left"/>
        <w:rPr>
          <w:rFonts w:ascii="Times New Roman" w:hAnsi="Times New Roman" w:eastAsia="黑体" w:cs="Times New Roman"/>
          <w:b/>
          <w:bCs/>
          <w:sz w:val="28"/>
          <w:szCs w:val="28"/>
        </w:rPr>
      </w:pPr>
    </w:p>
    <w:p w14:paraId="280104C6">
      <w:pPr>
        <w:adjustRightInd w:val="0"/>
        <w:snapToGrid w:val="0"/>
        <w:jc w:val="center"/>
        <w:rPr>
          <w:rFonts w:hint="eastAsia" w:ascii="Times New Roman" w:hAnsi="Times New Roman" w:eastAsia="黑体" w:cs="Times New Roman"/>
          <w:sz w:val="52"/>
          <w:szCs w:val="52"/>
          <w:lang w:eastAsia="zh-CN"/>
        </w:rPr>
      </w:pPr>
      <w:r>
        <w:rPr>
          <w:rFonts w:hint="eastAsia" w:ascii="Times New Roman" w:hAnsi="Times New Roman" w:eastAsia="黑体" w:cs="Times New Roman"/>
          <w:sz w:val="52"/>
          <w:szCs w:val="52"/>
        </w:rPr>
        <w:t xml:space="preserve">水果分级标准  </w:t>
      </w:r>
      <w:r>
        <w:rPr>
          <w:rFonts w:hint="eastAsia" w:ascii="Times New Roman" w:hAnsi="Times New Roman" w:eastAsia="黑体" w:cs="Times New Roman"/>
          <w:sz w:val="52"/>
          <w:szCs w:val="52"/>
          <w:lang w:eastAsia="zh-CN"/>
        </w:rPr>
        <w:t>蜂糖李</w:t>
      </w:r>
    </w:p>
    <w:p w14:paraId="1D9453F5">
      <w:pPr>
        <w:adjustRightInd w:val="0"/>
        <w:snapToGrid w:val="0"/>
        <w:jc w:val="center"/>
        <w:outlineLvl w:val="0"/>
        <w:rPr>
          <w:rFonts w:hint="eastAsia" w:ascii="Times New Roman" w:hAnsi="Times New Roman" w:eastAsia="黑体" w:cs="Times New Roman"/>
          <w:sz w:val="44"/>
          <w:szCs w:val="44"/>
        </w:rPr>
      </w:pPr>
      <w:bookmarkStart w:id="1" w:name="_Toc22473"/>
      <w:bookmarkStart w:id="2" w:name="_Toc14538"/>
      <w:bookmarkStart w:id="3" w:name="_Toc30500"/>
      <w:bookmarkStart w:id="4" w:name="_Toc25339"/>
      <w:bookmarkStart w:id="5" w:name="_Toc25359"/>
      <w:r>
        <w:rPr>
          <w:rFonts w:hint="eastAsia" w:ascii="Times New Roman" w:hAnsi="Times New Roman" w:eastAsia="黑体" w:cs="Times New Roman"/>
          <w:sz w:val="44"/>
          <w:szCs w:val="44"/>
        </w:rPr>
        <w:t xml:space="preserve">Fruit grading standard  </w:t>
      </w:r>
      <w:bookmarkEnd w:id="1"/>
      <w:bookmarkEnd w:id="2"/>
      <w:bookmarkEnd w:id="3"/>
      <w:bookmarkEnd w:id="4"/>
      <w:bookmarkEnd w:id="5"/>
      <w:r>
        <w:rPr>
          <w:rFonts w:hint="eastAsia" w:ascii="Times New Roman" w:hAnsi="Times New Roman" w:eastAsia="黑体" w:cs="Times New Roman"/>
          <w:sz w:val="44"/>
          <w:szCs w:val="44"/>
        </w:rPr>
        <w:t>Honey Plum</w:t>
      </w:r>
    </w:p>
    <w:p w14:paraId="6D1E2FFB">
      <w:pPr>
        <w:adjustRightInd w:val="0"/>
        <w:snapToGrid w:val="0"/>
        <w:jc w:val="center"/>
        <w:outlineLvl w:val="0"/>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（征求意见稿）</w:t>
      </w:r>
    </w:p>
    <w:p w14:paraId="6B186EE5">
      <w:pPr>
        <w:jc w:val="center"/>
        <w:rPr>
          <w:rFonts w:ascii="Times New Roman" w:hAnsi="Times New Roman" w:eastAsia="黑体" w:cs="Times New Roman"/>
          <w:b/>
          <w:bCs/>
          <w:sz w:val="28"/>
          <w:szCs w:val="28"/>
        </w:rPr>
      </w:pPr>
    </w:p>
    <w:p w14:paraId="23633EDB">
      <w:pPr>
        <w:jc w:val="left"/>
        <w:rPr>
          <w:rFonts w:ascii="Times New Roman" w:hAnsi="Times New Roman" w:eastAsia="黑体" w:cs="Times New Roman"/>
          <w:b/>
          <w:bCs/>
          <w:sz w:val="28"/>
          <w:szCs w:val="28"/>
        </w:rPr>
      </w:pPr>
    </w:p>
    <w:p w14:paraId="0C7FE483">
      <w:pPr>
        <w:jc w:val="left"/>
        <w:rPr>
          <w:rFonts w:ascii="Times New Roman" w:hAnsi="Times New Roman" w:eastAsia="黑体" w:cs="Times New Roman"/>
          <w:b/>
          <w:bCs/>
          <w:sz w:val="28"/>
          <w:szCs w:val="28"/>
        </w:rPr>
      </w:pPr>
    </w:p>
    <w:p w14:paraId="216E3B5A">
      <w:pPr>
        <w:jc w:val="left"/>
        <w:rPr>
          <w:rFonts w:ascii="Times New Roman" w:hAnsi="Times New Roman" w:eastAsia="黑体" w:cs="Times New Roman"/>
          <w:b/>
          <w:bCs/>
          <w:sz w:val="28"/>
          <w:szCs w:val="28"/>
        </w:rPr>
      </w:pPr>
    </w:p>
    <w:p w14:paraId="1CE7A34B">
      <w:pPr>
        <w:jc w:val="left"/>
        <w:rPr>
          <w:rFonts w:ascii="Times New Roman" w:hAnsi="Times New Roman" w:eastAsia="黑体" w:cs="Times New Roman"/>
          <w:b/>
          <w:bCs/>
          <w:sz w:val="28"/>
          <w:szCs w:val="28"/>
        </w:rPr>
      </w:pPr>
    </w:p>
    <w:p w14:paraId="7D70458A">
      <w:pPr>
        <w:jc w:val="left"/>
        <w:rPr>
          <w:rFonts w:ascii="Times New Roman" w:hAnsi="Times New Roman" w:eastAsia="黑体" w:cs="Times New Roman"/>
          <w:sz w:val="28"/>
          <w:szCs w:val="28"/>
          <w:u w:val="single"/>
        </w:rPr>
      </w:pPr>
      <w:r>
        <w:rPr>
          <w:rFonts w:hint="eastAsia" w:ascii="Times New Roman" w:hAnsi="Times New Roman" w:eastAsia="黑体" w:cs="Times New Roman"/>
          <w:sz w:val="28"/>
          <w:szCs w:val="28"/>
          <w:u w:val="single"/>
        </w:rPr>
        <w:t>20</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发布                                     20</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实施</w:t>
      </w:r>
    </w:p>
    <w:p w14:paraId="5728C268">
      <w:pPr>
        <w:jc w:val="left"/>
        <w:rPr>
          <w:rFonts w:ascii="Times New Roman" w:hAnsi="Times New Roman" w:eastAsia="黑体" w:cs="Times New Roman"/>
          <w:sz w:val="28"/>
          <w:szCs w:val="28"/>
        </w:rPr>
      </w:pPr>
    </w:p>
    <w:p w14:paraId="51B6F29C">
      <w:pPr>
        <w:jc w:val="center"/>
        <w:rPr>
          <w:rFonts w:ascii="Times New Roman" w:hAnsi="Times New Roman" w:eastAsia="黑体" w:cs="Times New Roman"/>
          <w:b/>
          <w:bCs/>
          <w:sz w:val="32"/>
          <w:szCs w:val="32"/>
        </w:rPr>
      </w:pPr>
      <w:r>
        <w:rPr>
          <w:rFonts w:hint="eastAsia" w:ascii="Times New Roman" w:hAnsi="Times New Roman" w:eastAsia="黑体" w:cs="Times New Roman"/>
          <w:sz w:val="32"/>
          <w:szCs w:val="32"/>
        </w:rPr>
        <w:t>深圳市农业产业化龙头企业协会     发布</w:t>
      </w:r>
      <w:r>
        <w:rPr>
          <w:rFonts w:hint="eastAsia" w:ascii="Times New Roman" w:hAnsi="Times New Roman" w:eastAsia="黑体" w:cs="Times New Roman"/>
          <w:b/>
          <w:bCs/>
          <w:sz w:val="32"/>
          <w:szCs w:val="32"/>
        </w:rPr>
        <w:t xml:space="preserve"> </w:t>
      </w:r>
    </w:p>
    <w:p w14:paraId="72863AE9">
      <w:pPr>
        <w:jc w:val="right"/>
        <w:rPr>
          <w:rFonts w:ascii="Times New Roman" w:hAnsi="Times New Roman" w:eastAsia="黑体" w:cs="Times New Roman"/>
          <w:sz w:val="20"/>
          <w:szCs w:val="20"/>
        </w:rPr>
      </w:pPr>
    </w:p>
    <w:p w14:paraId="228F0098">
      <w:pPr>
        <w:jc w:val="right"/>
        <w:rPr>
          <w:rFonts w:hint="eastAsia" w:ascii="黑体" w:hAnsi="黑体" w:eastAsia="黑体" w:cs="黑体"/>
          <w:sz w:val="20"/>
          <w:szCs w:val="20"/>
        </w:rPr>
        <w:sectPr>
          <w:headerReference r:id="rId3" w:type="first"/>
          <w:pgSz w:w="11906" w:h="16838"/>
          <w:pgMar w:top="1440" w:right="1080" w:bottom="1440" w:left="1080" w:header="851" w:footer="992" w:gutter="0"/>
          <w:pgNumType w:fmt="upperRoman"/>
          <w:cols w:space="425" w:num="1"/>
          <w:docGrid w:type="lines" w:linePitch="312" w:charSpace="0"/>
        </w:sectPr>
      </w:pPr>
    </w:p>
    <w:p w14:paraId="63169C1C">
      <w:pPr>
        <w:rPr>
          <w:rFonts w:ascii="Times New Roman" w:hAnsi="Times New Roman" w:eastAsia="黑体"/>
          <w:sz w:val="20"/>
          <w:szCs w:val="20"/>
        </w:rPr>
      </w:pPr>
    </w:p>
    <w:p w14:paraId="756FD6A7">
      <w:pPr>
        <w:rPr>
          <w:rFonts w:ascii="Times New Roman" w:hAnsi="Times New Roman" w:eastAsia="黑体"/>
          <w:sz w:val="20"/>
          <w:szCs w:val="20"/>
        </w:rPr>
      </w:pPr>
    </w:p>
    <w:p w14:paraId="5E8AC7DE">
      <w:pPr>
        <w:rPr>
          <w:rFonts w:ascii="Times New Roman" w:hAnsi="Times New Roman" w:eastAsia="黑体"/>
          <w:sz w:val="20"/>
          <w:szCs w:val="20"/>
        </w:rPr>
      </w:pPr>
    </w:p>
    <w:p w14:paraId="0D226B97">
      <w:pPr>
        <w:jc w:val="center"/>
        <w:rPr>
          <w:rFonts w:ascii="Times New Roman" w:hAnsi="Times New Roman" w:eastAsia="黑体"/>
          <w:sz w:val="32"/>
          <w:szCs w:val="32"/>
        </w:rPr>
      </w:pPr>
      <w:r>
        <w:rPr>
          <w:rFonts w:hint="eastAsia" w:ascii="Times New Roman" w:hAnsi="Times New Roman" w:eastAsia="黑体"/>
          <w:sz w:val="32"/>
          <w:szCs w:val="32"/>
        </w:rPr>
        <w:t>目   录</w:t>
      </w:r>
    </w:p>
    <w:sdt>
      <w:sdtPr>
        <w:rPr>
          <w:rFonts w:ascii="宋体" w:hAnsi="宋体" w:eastAsia="宋体"/>
        </w:rPr>
        <w:id w:val="147479504"/>
        <w15:color w:val="DBDBDB"/>
        <w:docPartObj>
          <w:docPartGallery w:val="Table of Contents"/>
          <w:docPartUnique/>
        </w:docPartObj>
      </w:sdtPr>
      <w:sdtEndPr>
        <w:rPr>
          <w:rFonts w:hint="eastAsia" w:ascii="Times New Roman" w:hAnsi="Times New Roman" w:eastAsia="黑体"/>
          <w:szCs w:val="32"/>
        </w:rPr>
      </w:sdtEndPr>
      <w:sdtContent>
        <w:p w14:paraId="7C862E75">
          <w:pPr>
            <w:jc w:val="left"/>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TOC \o "1-1" \h \u </w:instrText>
          </w:r>
          <w:r>
            <w:rPr>
              <w:rFonts w:hint="eastAsia" w:asciiTheme="minorEastAsia" w:hAnsiTheme="minorEastAsia" w:cstheme="minorEastAsia"/>
              <w:szCs w:val="21"/>
            </w:rPr>
            <w:fldChar w:fldCharType="separate"/>
          </w:r>
        </w:p>
        <w:p w14:paraId="42B13DF5">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"_Toc30152" </w:instrText>
          </w:r>
          <w:r>
            <w:fldChar w:fldCharType="separate"/>
          </w:r>
          <w:r>
            <w:rPr>
              <w:rFonts w:hint="eastAsia" w:asciiTheme="minorEastAsia" w:hAnsiTheme="minorEastAsia" w:cstheme="minorEastAsia"/>
              <w:sz w:val="20"/>
              <w:szCs w:val="20"/>
            </w:rPr>
            <w:t>前   言</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_Toc30152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II</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24A2B8CC">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"_Toc26003" </w:instrText>
          </w:r>
          <w:r>
            <w:fldChar w:fldCharType="separate"/>
          </w:r>
          <w:r>
            <w:rPr>
              <w:rFonts w:hint="eastAsia" w:asciiTheme="minorEastAsia" w:hAnsiTheme="minorEastAsia" w:cstheme="minorEastAsia"/>
              <w:sz w:val="20"/>
              <w:szCs w:val="20"/>
            </w:rPr>
            <w:t>1  范围</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_Toc26003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119826F4">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"_Toc26062" </w:instrText>
          </w:r>
          <w:r>
            <w:fldChar w:fldCharType="separate"/>
          </w:r>
          <w:r>
            <w:rPr>
              <w:rFonts w:hint="eastAsia" w:asciiTheme="minorEastAsia" w:hAnsiTheme="minorEastAsia" w:cstheme="minorEastAsia"/>
              <w:sz w:val="20"/>
              <w:szCs w:val="20"/>
            </w:rPr>
            <w:t>2  规范性引用文件</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_Toc26062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151B2500">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"_Toc12152" </w:instrText>
          </w:r>
          <w:r>
            <w:fldChar w:fldCharType="separate"/>
          </w:r>
          <w:r>
            <w:rPr>
              <w:rFonts w:hint="eastAsia" w:asciiTheme="minorEastAsia" w:hAnsiTheme="minorEastAsia" w:cstheme="minorEastAsia"/>
              <w:sz w:val="20"/>
              <w:szCs w:val="20"/>
            </w:rPr>
            <w:t>3  术语和定义</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_Toc12152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4D6739FB">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"_Toc2010" </w:instrText>
          </w:r>
          <w:r>
            <w:fldChar w:fldCharType="separate"/>
          </w:r>
          <w:r>
            <w:rPr>
              <w:rFonts w:hint="eastAsia" w:asciiTheme="minorEastAsia" w:hAnsiTheme="minorEastAsia" w:cstheme="minorEastAsia"/>
              <w:sz w:val="20"/>
              <w:szCs w:val="20"/>
            </w:rPr>
            <w:t>4  分级要求</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_Toc2010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0C2828E1">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"_Toc25943" </w:instrText>
          </w:r>
          <w:r>
            <w:fldChar w:fldCharType="separate"/>
          </w:r>
          <w:r>
            <w:rPr>
              <w:rFonts w:hint="eastAsia" w:asciiTheme="minorEastAsia" w:hAnsiTheme="minorEastAsia" w:cstheme="minorEastAsia"/>
              <w:sz w:val="20"/>
              <w:szCs w:val="20"/>
            </w:rPr>
            <w:t xml:space="preserve">5  </w:t>
          </w:r>
          <w:r>
            <w:rPr>
              <w:rFonts w:hint="eastAsia" w:asciiTheme="minorEastAsia" w:hAnsiTheme="minorEastAsia" w:cstheme="minorEastAsia"/>
              <w:bCs/>
              <w:sz w:val="20"/>
              <w:szCs w:val="20"/>
            </w:rPr>
            <w:t>试验方法</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_Toc25943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2</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7BB4F948">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"_Toc16491" </w:instrText>
          </w:r>
          <w:r>
            <w:fldChar w:fldCharType="separate"/>
          </w:r>
          <w:r>
            <w:rPr>
              <w:rFonts w:hint="eastAsia" w:asciiTheme="minorEastAsia" w:hAnsiTheme="minorEastAsia" w:cstheme="minorEastAsia"/>
              <w:bCs/>
              <w:sz w:val="20"/>
              <w:szCs w:val="20"/>
            </w:rPr>
            <w:t>6  检验规则</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_Toc16491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3</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68CC2C2D">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"_Toc28825" </w:instrText>
          </w:r>
          <w:r>
            <w:fldChar w:fldCharType="separate"/>
          </w:r>
          <w:r>
            <w:rPr>
              <w:rFonts w:hint="eastAsia" w:asciiTheme="minorEastAsia" w:hAnsiTheme="minorEastAsia" w:cstheme="minorEastAsia"/>
              <w:sz w:val="20"/>
              <w:szCs w:val="20"/>
            </w:rPr>
            <w:t>7  包装、运输、贮存</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_Toc28825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3</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7BC79F46">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"_Toc28402" </w:instrText>
          </w:r>
          <w:r>
            <w:fldChar w:fldCharType="separate"/>
          </w:r>
          <w:r>
            <w:rPr>
              <w:rFonts w:hint="eastAsia" w:asciiTheme="minorEastAsia" w:hAnsiTheme="minorEastAsia" w:cstheme="minorEastAsia"/>
              <w:sz w:val="20"/>
              <w:szCs w:val="20"/>
            </w:rPr>
            <w:t>8  标识规定</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_Toc28402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3</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343633F8">
          <w:pPr>
            <w:pStyle w:val="6"/>
            <w:tabs>
              <w:tab w:val="right" w:leader="dot" w:pos="9746"/>
            </w:tabs>
          </w:pPr>
          <w:r>
            <w:fldChar w:fldCharType="begin"/>
          </w:r>
          <w:r>
            <w:instrText xml:space="preserve"> HYPERLINK \l "_Toc16664" </w:instrText>
          </w:r>
          <w:r>
            <w:fldChar w:fldCharType="separate"/>
          </w:r>
          <w:r>
            <w:rPr>
              <w:rFonts w:hint="eastAsia" w:asciiTheme="minorEastAsia" w:hAnsiTheme="minorEastAsia" w:cstheme="minorEastAsia"/>
              <w:sz w:val="20"/>
              <w:szCs w:val="20"/>
            </w:rPr>
            <w:t>附录A（资料性） 品质雷达图</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_Toc16664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4</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1E748E88">
          <w:pPr>
            <w:jc w:val="center"/>
            <w:rPr>
              <w:rFonts w:ascii="Times New Roman" w:hAnsi="Times New Roman" w:eastAsia="黑体"/>
              <w:szCs w:val="32"/>
            </w:rPr>
          </w:pPr>
          <w:r>
            <w:rPr>
              <w:rFonts w:hint="eastAsia" w:asciiTheme="minorEastAsia" w:hAnsiTheme="minorEastAsia" w:cstheme="minorEastAsia"/>
              <w:szCs w:val="21"/>
            </w:rPr>
            <w:fldChar w:fldCharType="end"/>
          </w:r>
        </w:p>
      </w:sdtContent>
    </w:sdt>
    <w:p w14:paraId="788CBE49">
      <w:pPr>
        <w:tabs>
          <w:tab w:val="left" w:pos="8169"/>
        </w:tabs>
        <w:jc w:val="left"/>
        <w:rPr>
          <w:rFonts w:ascii="Times New Roman" w:hAnsi="Times New Roman" w:eastAsia="黑体"/>
          <w:szCs w:val="32"/>
        </w:rPr>
      </w:pPr>
      <w:r>
        <w:rPr>
          <w:rFonts w:hint="eastAsia" w:ascii="Times New Roman" w:hAnsi="Times New Roman" w:eastAsia="黑体"/>
          <w:szCs w:val="32"/>
        </w:rPr>
        <w:tab/>
      </w:r>
    </w:p>
    <w:p w14:paraId="4A6CF047">
      <w:pPr>
        <w:adjustRightInd w:val="0"/>
        <w:snapToGrid w:val="0"/>
        <w:spacing w:line="460" w:lineRule="exact"/>
        <w:rPr>
          <w:rFonts w:ascii="Times New Roman" w:hAnsi="Times New Roman" w:eastAsia="黑体"/>
          <w:sz w:val="32"/>
          <w:szCs w:val="32"/>
        </w:rPr>
      </w:pPr>
    </w:p>
    <w:p w14:paraId="504AB413">
      <w:pPr>
        <w:rPr>
          <w:rFonts w:hint="eastAsia" w:ascii="黑体" w:hAnsi="黑体" w:eastAsia="黑体" w:cs="黑体"/>
          <w:sz w:val="20"/>
          <w:szCs w:val="20"/>
        </w:rPr>
      </w:pPr>
    </w:p>
    <w:p w14:paraId="5CEB2666"/>
    <w:p w14:paraId="442D0DAB">
      <w:pPr>
        <w:tabs>
          <w:tab w:val="left" w:pos="6455"/>
        </w:tabs>
        <w:jc w:val="left"/>
      </w:pPr>
      <w:r>
        <w:rPr>
          <w:rFonts w:hint="eastAsia"/>
        </w:rPr>
        <w:tab/>
      </w:r>
    </w:p>
    <w:p w14:paraId="0F722135">
      <w:pPr>
        <w:tabs>
          <w:tab w:val="left" w:pos="6455"/>
        </w:tabs>
        <w:jc w:val="left"/>
      </w:pPr>
    </w:p>
    <w:p w14:paraId="287097B1">
      <w:pPr>
        <w:tabs>
          <w:tab w:val="left" w:pos="6455"/>
        </w:tabs>
        <w:jc w:val="left"/>
      </w:pPr>
    </w:p>
    <w:p w14:paraId="027825F0">
      <w:pPr>
        <w:tabs>
          <w:tab w:val="left" w:pos="6455"/>
        </w:tabs>
        <w:jc w:val="left"/>
      </w:pPr>
    </w:p>
    <w:p w14:paraId="56542A59">
      <w:pPr>
        <w:tabs>
          <w:tab w:val="left" w:pos="6455"/>
        </w:tabs>
        <w:jc w:val="left"/>
      </w:pPr>
    </w:p>
    <w:p w14:paraId="75E98115">
      <w:pPr>
        <w:tabs>
          <w:tab w:val="left" w:pos="6455"/>
        </w:tabs>
        <w:jc w:val="left"/>
      </w:pPr>
    </w:p>
    <w:p w14:paraId="1A09F0ED">
      <w:pPr>
        <w:tabs>
          <w:tab w:val="left" w:pos="6455"/>
        </w:tabs>
        <w:jc w:val="left"/>
      </w:pPr>
    </w:p>
    <w:p w14:paraId="0A6C75F7">
      <w:pPr>
        <w:tabs>
          <w:tab w:val="left" w:pos="6455"/>
        </w:tabs>
        <w:jc w:val="left"/>
      </w:pPr>
    </w:p>
    <w:p w14:paraId="7DF62B3D">
      <w:pPr>
        <w:tabs>
          <w:tab w:val="left" w:pos="6455"/>
        </w:tabs>
        <w:jc w:val="left"/>
      </w:pPr>
    </w:p>
    <w:p w14:paraId="67E5D14C">
      <w:pPr>
        <w:tabs>
          <w:tab w:val="left" w:pos="6455"/>
        </w:tabs>
        <w:jc w:val="left"/>
      </w:pPr>
    </w:p>
    <w:p w14:paraId="769B4079">
      <w:pPr>
        <w:tabs>
          <w:tab w:val="left" w:pos="6455"/>
        </w:tabs>
        <w:jc w:val="left"/>
      </w:pPr>
    </w:p>
    <w:p w14:paraId="3D05696E">
      <w:pPr>
        <w:tabs>
          <w:tab w:val="left" w:pos="6455"/>
        </w:tabs>
        <w:jc w:val="left"/>
      </w:pPr>
    </w:p>
    <w:p w14:paraId="13AA6406">
      <w:pPr>
        <w:tabs>
          <w:tab w:val="left" w:pos="6455"/>
        </w:tabs>
        <w:jc w:val="left"/>
      </w:pPr>
    </w:p>
    <w:p w14:paraId="0ACC0377">
      <w:pPr>
        <w:tabs>
          <w:tab w:val="left" w:pos="6455"/>
        </w:tabs>
        <w:jc w:val="left"/>
      </w:pPr>
    </w:p>
    <w:p w14:paraId="4FAD9212">
      <w:pPr>
        <w:tabs>
          <w:tab w:val="left" w:pos="6455"/>
        </w:tabs>
        <w:jc w:val="left"/>
      </w:pPr>
    </w:p>
    <w:p w14:paraId="50C98BF6">
      <w:pPr>
        <w:tabs>
          <w:tab w:val="left" w:pos="6455"/>
        </w:tabs>
        <w:jc w:val="left"/>
      </w:pPr>
    </w:p>
    <w:p w14:paraId="5F0B4AE3">
      <w:pPr>
        <w:tabs>
          <w:tab w:val="left" w:pos="6455"/>
        </w:tabs>
        <w:jc w:val="left"/>
      </w:pPr>
    </w:p>
    <w:p w14:paraId="4F44BD3B">
      <w:pPr>
        <w:tabs>
          <w:tab w:val="left" w:pos="6455"/>
        </w:tabs>
        <w:jc w:val="left"/>
      </w:pPr>
    </w:p>
    <w:p w14:paraId="1B1C6750">
      <w:pPr>
        <w:tabs>
          <w:tab w:val="left" w:pos="6455"/>
        </w:tabs>
        <w:rPr>
          <w:rFonts w:hint="eastAsia" w:ascii="黑体" w:hAnsi="黑体" w:eastAsia="黑体" w:cs="黑体"/>
          <w:sz w:val="20"/>
          <w:szCs w:val="20"/>
        </w:rPr>
      </w:pPr>
    </w:p>
    <w:p w14:paraId="2BB42A9A">
      <w:pPr>
        <w:tabs>
          <w:tab w:val="left" w:pos="6455"/>
        </w:tabs>
        <w:jc w:val="right"/>
        <w:rPr>
          <w:rFonts w:hint="eastAsia" w:ascii="黑体" w:hAnsi="黑体" w:eastAsia="黑体" w:cs="黑体"/>
          <w:sz w:val="20"/>
          <w:szCs w:val="20"/>
        </w:rPr>
      </w:pPr>
    </w:p>
    <w:p w14:paraId="39D314D0">
      <w:pPr>
        <w:tabs>
          <w:tab w:val="left" w:pos="6455"/>
        </w:tabs>
        <w:jc w:val="right"/>
        <w:rPr>
          <w:rFonts w:hint="eastAsia" w:ascii="黑体" w:hAnsi="黑体" w:eastAsia="黑体" w:cs="黑体"/>
          <w:sz w:val="20"/>
          <w:szCs w:val="20"/>
        </w:rPr>
      </w:pPr>
    </w:p>
    <w:p w14:paraId="71D2323F">
      <w:pPr>
        <w:tabs>
          <w:tab w:val="left" w:pos="6455"/>
        </w:tabs>
        <w:jc w:val="right"/>
        <w:rPr>
          <w:rFonts w:hint="eastAsia" w:ascii="黑体" w:hAnsi="黑体" w:eastAsia="黑体" w:cs="黑体"/>
          <w:sz w:val="20"/>
          <w:szCs w:val="20"/>
        </w:rPr>
      </w:pPr>
    </w:p>
    <w:p w14:paraId="27DE8E0E">
      <w:pPr>
        <w:tabs>
          <w:tab w:val="left" w:pos="6455"/>
        </w:tabs>
        <w:ind w:right="200"/>
        <w:jc w:val="right"/>
        <w:rPr>
          <w:rFonts w:hint="eastAsia" w:ascii="黑体" w:hAnsi="黑体" w:eastAsia="黑体" w:cs="黑体"/>
          <w:sz w:val="20"/>
          <w:szCs w:val="20"/>
        </w:rPr>
        <w:sectPr>
          <w:headerReference r:id="rId6" w:type="first"/>
          <w:footerReference r:id="rId9" w:type="first"/>
          <w:headerReference r:id="rId4" w:type="default"/>
          <w:footerReference r:id="rId7" w:type="default"/>
          <w:headerReference r:id="rId5" w:type="even"/>
          <w:footerReference r:id="rId8" w:type="even"/>
          <w:pgSz w:w="11906" w:h="16838"/>
          <w:pgMar w:top="1440" w:right="1080" w:bottom="1440" w:left="1080" w:header="851" w:footer="992" w:gutter="0"/>
          <w:pgNumType w:fmt="upperRoman" w:start="1"/>
          <w:cols w:space="425" w:num="1"/>
          <w:titlePg/>
          <w:docGrid w:type="lines" w:linePitch="312" w:charSpace="0"/>
        </w:sectPr>
      </w:pPr>
    </w:p>
    <w:p w14:paraId="1FFC699B">
      <w:pPr>
        <w:jc w:val="right"/>
        <w:rPr>
          <w:rFonts w:ascii="Times New Roman" w:hAnsi="Times New Roman" w:eastAsia="黑体" w:cs="Times New Roman"/>
          <w:sz w:val="20"/>
          <w:szCs w:val="20"/>
        </w:rPr>
      </w:pPr>
    </w:p>
    <w:p w14:paraId="316C33D4">
      <w:pPr>
        <w:jc w:val="center"/>
        <w:outlineLvl w:val="0"/>
        <w:rPr>
          <w:rFonts w:ascii="Times New Roman" w:hAnsi="Times New Roman" w:eastAsia="黑体" w:cs="Times New Roman"/>
          <w:sz w:val="32"/>
          <w:szCs w:val="32"/>
        </w:rPr>
      </w:pPr>
      <w:bookmarkStart w:id="6" w:name="_Toc30152"/>
      <w:r>
        <w:rPr>
          <w:rFonts w:hint="eastAsia" w:ascii="Times New Roman" w:hAnsi="Times New Roman" w:eastAsia="黑体" w:cs="Times New Roman"/>
          <w:sz w:val="32"/>
          <w:szCs w:val="32"/>
        </w:rPr>
        <w:t>前   言</w:t>
      </w:r>
      <w:bookmarkEnd w:id="6"/>
    </w:p>
    <w:p w14:paraId="1F0D21A9">
      <w:pPr>
        <w:adjustRightInd w:val="0"/>
        <w:snapToGrid w:val="0"/>
        <w:spacing w:line="460" w:lineRule="exact"/>
        <w:ind w:firstLine="640" w:firstLineChars="200"/>
        <w:jc w:val="left"/>
        <w:rPr>
          <w:rFonts w:ascii="Times New Roman" w:hAnsi="Times New Roman" w:eastAsia="黑体" w:cs="Times New Roman"/>
          <w:sz w:val="32"/>
          <w:szCs w:val="32"/>
        </w:rPr>
      </w:pPr>
    </w:p>
    <w:p w14:paraId="55D11B79">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本文件按照GB/T 1.1-2020《标准化工作导则  第1部分：标准化文件的结构和起草规则》的规定起草。</w:t>
      </w:r>
    </w:p>
    <w:p w14:paraId="5217CAF2">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请注意本文件的某些内容可能涉及专利，本文件的发布机构不承担识别专利的责任。</w:t>
      </w:r>
    </w:p>
    <w:p w14:paraId="75D18585">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本文件由深圳农产品质量提升联盟提出。</w:t>
      </w:r>
    </w:p>
    <w:p w14:paraId="01FC36D5">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本文件由深圳市农业产业化龙头企业协会归口。</w:t>
      </w:r>
    </w:p>
    <w:p w14:paraId="43D03211">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本文件起草单位：</w:t>
      </w:r>
    </w:p>
    <w:p w14:paraId="251D81DC">
      <w:pPr>
        <w:ind w:firstLine="400" w:firstLineChars="200"/>
        <w:rPr>
          <w:rFonts w:hint="eastAsia" w:ascii="宋体" w:hAnsi="宋体" w:eastAsia="宋体" w:cs="宋体"/>
          <w:spacing w:val="-1"/>
          <w:sz w:val="20"/>
          <w:szCs w:val="20"/>
        </w:rPr>
      </w:pPr>
      <w:r>
        <w:rPr>
          <w:rFonts w:hint="eastAsia" w:asciiTheme="minorEastAsia" w:hAnsiTheme="minorEastAsia" w:cstheme="minorEastAsia"/>
          <w:sz w:val="20"/>
          <w:szCs w:val="20"/>
        </w:rPr>
        <w:t>本文件主要起草人：</w:t>
      </w:r>
    </w:p>
    <w:p w14:paraId="780B8A91">
      <w:pPr>
        <w:adjustRightInd w:val="0"/>
        <w:snapToGrid w:val="0"/>
        <w:ind w:firstLine="396" w:firstLineChars="200"/>
        <w:rPr>
          <w:rFonts w:hint="eastAsia" w:ascii="宋体" w:hAnsi="宋体" w:eastAsia="宋体" w:cs="宋体"/>
          <w:spacing w:val="-1"/>
          <w:sz w:val="20"/>
          <w:szCs w:val="20"/>
        </w:rPr>
      </w:pPr>
    </w:p>
    <w:p w14:paraId="6DCFDEF9">
      <w:pPr>
        <w:adjustRightInd w:val="0"/>
        <w:snapToGrid w:val="0"/>
        <w:rPr>
          <w:rFonts w:hint="eastAsia" w:ascii="宋体" w:hAnsi="宋体" w:eastAsia="宋体" w:cs="宋体"/>
          <w:spacing w:val="-1"/>
          <w:sz w:val="20"/>
          <w:szCs w:val="20"/>
        </w:rPr>
      </w:pPr>
    </w:p>
    <w:p w14:paraId="5AA9F1DD">
      <w:pPr>
        <w:jc w:val="left"/>
        <w:rPr>
          <w:rFonts w:ascii="Times New Roman" w:hAnsi="Times New Roman" w:eastAsia="黑体" w:cs="Times New Roman"/>
          <w:sz w:val="20"/>
          <w:szCs w:val="20"/>
        </w:rPr>
      </w:pPr>
    </w:p>
    <w:p w14:paraId="44B08B6B">
      <w:pPr>
        <w:jc w:val="left"/>
        <w:rPr>
          <w:rFonts w:ascii="Times New Roman" w:hAnsi="Times New Roman" w:eastAsia="黑体" w:cs="Times New Roman"/>
          <w:sz w:val="20"/>
          <w:szCs w:val="20"/>
        </w:rPr>
      </w:pPr>
    </w:p>
    <w:p w14:paraId="43E1636F">
      <w:pPr>
        <w:jc w:val="left"/>
        <w:rPr>
          <w:rFonts w:ascii="Times New Roman" w:hAnsi="Times New Roman" w:eastAsia="黑体" w:cs="Times New Roman"/>
          <w:sz w:val="20"/>
          <w:szCs w:val="20"/>
        </w:rPr>
      </w:pPr>
    </w:p>
    <w:p w14:paraId="38B071D1">
      <w:pPr>
        <w:jc w:val="left"/>
        <w:rPr>
          <w:rFonts w:ascii="Times New Roman" w:hAnsi="Times New Roman" w:eastAsia="黑体" w:cs="Times New Roman"/>
          <w:sz w:val="20"/>
          <w:szCs w:val="20"/>
        </w:rPr>
      </w:pPr>
    </w:p>
    <w:p w14:paraId="640B2641">
      <w:pPr>
        <w:jc w:val="left"/>
        <w:rPr>
          <w:rFonts w:ascii="Times New Roman" w:hAnsi="Times New Roman" w:eastAsia="黑体" w:cs="Times New Roman"/>
          <w:sz w:val="20"/>
          <w:szCs w:val="20"/>
        </w:rPr>
      </w:pPr>
    </w:p>
    <w:p w14:paraId="1AC788D2">
      <w:pPr>
        <w:jc w:val="left"/>
        <w:rPr>
          <w:rFonts w:ascii="Times New Roman" w:hAnsi="Times New Roman" w:eastAsia="黑体" w:cs="Times New Roman"/>
          <w:sz w:val="20"/>
          <w:szCs w:val="20"/>
        </w:rPr>
      </w:pPr>
    </w:p>
    <w:p w14:paraId="73D8A7C5">
      <w:pPr>
        <w:jc w:val="left"/>
        <w:rPr>
          <w:rFonts w:ascii="Times New Roman" w:hAnsi="Times New Roman" w:eastAsia="黑体" w:cs="Times New Roman"/>
          <w:sz w:val="20"/>
          <w:szCs w:val="20"/>
        </w:rPr>
      </w:pPr>
    </w:p>
    <w:p w14:paraId="59A91558">
      <w:pPr>
        <w:jc w:val="left"/>
        <w:rPr>
          <w:rFonts w:ascii="Times New Roman" w:hAnsi="Times New Roman" w:eastAsia="黑体" w:cs="Times New Roman"/>
          <w:sz w:val="20"/>
          <w:szCs w:val="20"/>
        </w:rPr>
      </w:pPr>
    </w:p>
    <w:p w14:paraId="46A4B6A5">
      <w:pPr>
        <w:jc w:val="left"/>
        <w:rPr>
          <w:rFonts w:ascii="Times New Roman" w:hAnsi="Times New Roman" w:eastAsia="黑体" w:cs="Times New Roman"/>
          <w:sz w:val="20"/>
          <w:szCs w:val="20"/>
        </w:rPr>
      </w:pPr>
    </w:p>
    <w:p w14:paraId="37FFC470">
      <w:pPr>
        <w:jc w:val="left"/>
        <w:rPr>
          <w:rFonts w:ascii="Times New Roman" w:hAnsi="Times New Roman" w:eastAsia="黑体" w:cs="Times New Roman"/>
          <w:sz w:val="20"/>
          <w:szCs w:val="20"/>
        </w:rPr>
      </w:pPr>
    </w:p>
    <w:p w14:paraId="6A1FD720">
      <w:pPr>
        <w:jc w:val="left"/>
        <w:rPr>
          <w:rFonts w:ascii="Times New Roman" w:hAnsi="Times New Roman" w:eastAsia="黑体" w:cs="Times New Roman"/>
          <w:sz w:val="20"/>
          <w:szCs w:val="20"/>
        </w:rPr>
      </w:pPr>
    </w:p>
    <w:p w14:paraId="628CC9AE">
      <w:pPr>
        <w:jc w:val="left"/>
        <w:rPr>
          <w:rFonts w:ascii="Times New Roman" w:hAnsi="Times New Roman" w:eastAsia="黑体" w:cs="Times New Roman"/>
          <w:sz w:val="20"/>
          <w:szCs w:val="20"/>
        </w:rPr>
      </w:pPr>
    </w:p>
    <w:p w14:paraId="4E21F6FF">
      <w:pPr>
        <w:jc w:val="left"/>
        <w:rPr>
          <w:rFonts w:ascii="Times New Roman" w:hAnsi="Times New Roman" w:eastAsia="黑体" w:cs="Times New Roman"/>
          <w:sz w:val="20"/>
          <w:szCs w:val="20"/>
        </w:rPr>
      </w:pPr>
    </w:p>
    <w:p w14:paraId="080D65DD">
      <w:pPr>
        <w:jc w:val="left"/>
        <w:rPr>
          <w:rFonts w:ascii="Times New Roman" w:hAnsi="Times New Roman" w:eastAsia="黑体" w:cs="Times New Roman"/>
          <w:sz w:val="20"/>
          <w:szCs w:val="20"/>
        </w:rPr>
      </w:pPr>
    </w:p>
    <w:p w14:paraId="05097EDE">
      <w:pPr>
        <w:jc w:val="left"/>
        <w:rPr>
          <w:rFonts w:ascii="Times New Roman" w:hAnsi="Times New Roman" w:eastAsia="黑体" w:cs="Times New Roman"/>
          <w:sz w:val="20"/>
          <w:szCs w:val="20"/>
        </w:rPr>
      </w:pPr>
    </w:p>
    <w:p w14:paraId="5854CB3C">
      <w:pPr>
        <w:jc w:val="left"/>
        <w:rPr>
          <w:rFonts w:ascii="Times New Roman" w:hAnsi="Times New Roman" w:eastAsia="黑体" w:cs="Times New Roman"/>
          <w:sz w:val="20"/>
          <w:szCs w:val="20"/>
        </w:rPr>
      </w:pPr>
    </w:p>
    <w:p w14:paraId="4805ACAA">
      <w:pPr>
        <w:jc w:val="left"/>
        <w:rPr>
          <w:rFonts w:ascii="Times New Roman" w:hAnsi="Times New Roman" w:eastAsia="黑体" w:cs="Times New Roman"/>
          <w:sz w:val="20"/>
          <w:szCs w:val="20"/>
        </w:rPr>
      </w:pPr>
    </w:p>
    <w:p w14:paraId="1CBDD6DE">
      <w:pPr>
        <w:jc w:val="left"/>
        <w:rPr>
          <w:rFonts w:ascii="Times New Roman" w:hAnsi="Times New Roman" w:eastAsia="黑体" w:cs="Times New Roman"/>
          <w:sz w:val="20"/>
          <w:szCs w:val="20"/>
        </w:rPr>
      </w:pPr>
    </w:p>
    <w:p w14:paraId="39E8C5B6">
      <w:pPr>
        <w:jc w:val="left"/>
        <w:rPr>
          <w:rFonts w:ascii="Times New Roman" w:hAnsi="Times New Roman" w:eastAsia="黑体" w:cs="Times New Roman"/>
          <w:sz w:val="20"/>
          <w:szCs w:val="20"/>
        </w:rPr>
      </w:pPr>
    </w:p>
    <w:p w14:paraId="31F5A066">
      <w:pPr>
        <w:jc w:val="left"/>
        <w:rPr>
          <w:rFonts w:ascii="Times New Roman" w:hAnsi="Times New Roman" w:eastAsia="黑体" w:cs="Times New Roman"/>
          <w:sz w:val="20"/>
          <w:szCs w:val="20"/>
        </w:rPr>
      </w:pPr>
    </w:p>
    <w:p w14:paraId="37173542">
      <w:pPr>
        <w:jc w:val="left"/>
        <w:rPr>
          <w:rFonts w:ascii="Times New Roman" w:hAnsi="Times New Roman" w:eastAsia="黑体" w:cs="Times New Roman"/>
          <w:sz w:val="20"/>
          <w:szCs w:val="20"/>
        </w:rPr>
      </w:pPr>
    </w:p>
    <w:p w14:paraId="1062F467">
      <w:pPr>
        <w:jc w:val="left"/>
        <w:rPr>
          <w:rFonts w:ascii="Times New Roman" w:hAnsi="Times New Roman" w:eastAsia="黑体" w:cs="Times New Roman"/>
          <w:sz w:val="20"/>
          <w:szCs w:val="20"/>
        </w:rPr>
      </w:pPr>
    </w:p>
    <w:p w14:paraId="3F46DB93">
      <w:pPr>
        <w:jc w:val="left"/>
        <w:rPr>
          <w:rFonts w:ascii="Times New Roman" w:hAnsi="Times New Roman" w:eastAsia="黑体" w:cs="Times New Roman"/>
          <w:sz w:val="20"/>
          <w:szCs w:val="20"/>
        </w:rPr>
      </w:pPr>
    </w:p>
    <w:p w14:paraId="1C626D2C">
      <w:pPr>
        <w:jc w:val="left"/>
        <w:rPr>
          <w:rFonts w:ascii="Times New Roman" w:hAnsi="Times New Roman" w:eastAsia="黑体" w:cs="Times New Roman"/>
          <w:sz w:val="20"/>
          <w:szCs w:val="20"/>
        </w:rPr>
      </w:pPr>
    </w:p>
    <w:p w14:paraId="0702F180">
      <w:pPr>
        <w:rPr>
          <w:rFonts w:hint="eastAsia" w:ascii="黑体" w:hAnsi="黑体" w:eastAsia="黑体" w:cs="黑体"/>
          <w:sz w:val="20"/>
          <w:szCs w:val="20"/>
        </w:rPr>
      </w:pPr>
    </w:p>
    <w:p w14:paraId="16F77E0A">
      <w:pPr>
        <w:rPr>
          <w:rFonts w:hint="eastAsia" w:ascii="黑体" w:hAnsi="黑体" w:eastAsia="黑体" w:cs="黑体"/>
          <w:sz w:val="20"/>
          <w:szCs w:val="20"/>
        </w:rPr>
      </w:pPr>
    </w:p>
    <w:p w14:paraId="2FAB0480">
      <w:pPr>
        <w:jc w:val="right"/>
        <w:rPr>
          <w:rFonts w:hint="eastAsia" w:ascii="黑体" w:hAnsi="黑体" w:eastAsia="黑体" w:cs="黑体"/>
          <w:sz w:val="20"/>
          <w:szCs w:val="20"/>
        </w:rPr>
        <w:sectPr>
          <w:headerReference r:id="rId12" w:type="first"/>
          <w:footerReference r:id="rId15" w:type="first"/>
          <w:headerReference r:id="rId10" w:type="default"/>
          <w:footerReference r:id="rId13" w:type="default"/>
          <w:headerReference r:id="rId11" w:type="even"/>
          <w:footerReference r:id="rId14" w:type="even"/>
          <w:pgSz w:w="11906" w:h="16838"/>
          <w:pgMar w:top="1440" w:right="1080" w:bottom="1440" w:left="1080" w:header="851" w:footer="992" w:gutter="0"/>
          <w:pgNumType w:fmt="upperRoman"/>
          <w:cols w:space="425" w:num="1"/>
          <w:docGrid w:type="lines" w:linePitch="312" w:charSpace="0"/>
        </w:sectPr>
      </w:pPr>
    </w:p>
    <w:p w14:paraId="4ED86530">
      <w:pPr>
        <w:jc w:val="right"/>
        <w:rPr>
          <w:rFonts w:ascii="Times New Roman" w:hAnsi="Times New Roman" w:eastAsia="黑体" w:cs="Times New Roman"/>
          <w:sz w:val="20"/>
          <w:szCs w:val="20"/>
        </w:rPr>
      </w:pPr>
    </w:p>
    <w:p w14:paraId="5EAEAF3D">
      <w:pPr>
        <w:jc w:val="center"/>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rPr>
        <w:t xml:space="preserve">水果分级标准  </w:t>
      </w:r>
      <w:r>
        <w:rPr>
          <w:rFonts w:hint="eastAsia" w:ascii="Times New Roman" w:hAnsi="Times New Roman" w:eastAsia="黑体" w:cs="Times New Roman"/>
          <w:sz w:val="32"/>
          <w:szCs w:val="32"/>
          <w:lang w:eastAsia="zh-CN"/>
        </w:rPr>
        <w:t>蜂糖李</w:t>
      </w:r>
    </w:p>
    <w:p w14:paraId="6E8597F7">
      <w:pPr>
        <w:jc w:val="left"/>
        <w:rPr>
          <w:rFonts w:ascii="Times New Roman" w:hAnsi="Times New Roman" w:eastAsia="黑体" w:cs="Times New Roman"/>
          <w:sz w:val="32"/>
          <w:szCs w:val="32"/>
        </w:rPr>
      </w:pPr>
    </w:p>
    <w:p w14:paraId="1623D2A6">
      <w:pPr>
        <w:adjustRightInd w:val="0"/>
        <w:snapToGrid w:val="0"/>
        <w:jc w:val="left"/>
        <w:outlineLvl w:val="0"/>
        <w:rPr>
          <w:rFonts w:hint="eastAsia" w:ascii="黑体" w:hAnsi="黑体" w:eastAsia="黑体" w:cs="黑体"/>
          <w:sz w:val="20"/>
          <w:szCs w:val="20"/>
        </w:rPr>
      </w:pPr>
      <w:bookmarkStart w:id="7" w:name="_Toc26003"/>
      <w:r>
        <w:rPr>
          <w:rFonts w:hint="eastAsia" w:ascii="黑体" w:hAnsi="黑体" w:eastAsia="黑体" w:cs="黑体"/>
          <w:sz w:val="20"/>
          <w:szCs w:val="20"/>
        </w:rPr>
        <w:t>1  范围</w:t>
      </w:r>
      <w:bookmarkEnd w:id="7"/>
    </w:p>
    <w:p w14:paraId="7754DDC7">
      <w:pPr>
        <w:adjustRightInd w:val="0"/>
        <w:snapToGrid w:val="0"/>
        <w:ind w:firstLine="400" w:firstLineChars="200"/>
        <w:jc w:val="left"/>
        <w:rPr>
          <w:rFonts w:hint="eastAsia" w:asciiTheme="minorEastAsia" w:hAnsiTheme="minorEastAsia" w:cstheme="minorEastAsia"/>
          <w:sz w:val="20"/>
          <w:szCs w:val="20"/>
        </w:rPr>
      </w:pPr>
    </w:p>
    <w:p w14:paraId="0DCD1355">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本文件规定了</w:t>
      </w:r>
      <w:r>
        <w:rPr>
          <w:rFonts w:hint="eastAsia" w:asciiTheme="minorEastAsia" w:hAnsiTheme="minorEastAsia" w:cstheme="minorEastAsia"/>
          <w:sz w:val="20"/>
          <w:szCs w:val="20"/>
          <w:lang w:eastAsia="zh-CN"/>
        </w:rPr>
        <w:t>蜂糖李</w:t>
      </w:r>
      <w:r>
        <w:rPr>
          <w:rFonts w:hint="eastAsia" w:asciiTheme="minorEastAsia" w:hAnsiTheme="minorEastAsia" w:cstheme="minorEastAsia"/>
          <w:sz w:val="20"/>
          <w:szCs w:val="20"/>
        </w:rPr>
        <w:t>的术语和定义、分级要求、试验方法、检验规则、包装、运输、贮存和标识规定。</w:t>
      </w:r>
    </w:p>
    <w:p w14:paraId="0F6B570F">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本文件适用于</w:t>
      </w:r>
      <w:r>
        <w:rPr>
          <w:rFonts w:hint="eastAsia" w:asciiTheme="minorEastAsia" w:hAnsiTheme="minorEastAsia" w:cstheme="minorEastAsia"/>
          <w:sz w:val="20"/>
          <w:szCs w:val="20"/>
          <w:lang w:eastAsia="zh-CN"/>
        </w:rPr>
        <w:t>镇宁蜂糖李</w:t>
      </w:r>
      <w:r>
        <w:rPr>
          <w:rFonts w:hint="eastAsia" w:asciiTheme="minorEastAsia" w:hAnsiTheme="minorEastAsia" w:cstheme="minorEastAsia"/>
          <w:sz w:val="20"/>
          <w:szCs w:val="20"/>
        </w:rPr>
        <w:t>地理标志产品保护范围内生产的以新鲜或原有状态供消费者直接食用的</w:t>
      </w:r>
      <w:r>
        <w:rPr>
          <w:rFonts w:hint="eastAsia" w:asciiTheme="minorEastAsia" w:hAnsiTheme="minorEastAsia" w:cstheme="minorEastAsia"/>
          <w:sz w:val="20"/>
          <w:szCs w:val="20"/>
          <w:lang w:eastAsia="zh-CN"/>
        </w:rPr>
        <w:t>蜂糖李</w:t>
      </w:r>
      <w:r>
        <w:rPr>
          <w:rFonts w:hint="eastAsia" w:asciiTheme="minorEastAsia" w:hAnsiTheme="minorEastAsia" w:cstheme="minorEastAsia"/>
          <w:sz w:val="20"/>
          <w:szCs w:val="20"/>
        </w:rPr>
        <w:t>分级，用于加工的</w:t>
      </w:r>
      <w:r>
        <w:rPr>
          <w:rFonts w:hint="eastAsia" w:asciiTheme="minorEastAsia" w:hAnsiTheme="minorEastAsia" w:cstheme="minorEastAsia"/>
          <w:sz w:val="20"/>
          <w:szCs w:val="20"/>
          <w:lang w:eastAsia="zh-CN"/>
        </w:rPr>
        <w:t>蜂糖李</w:t>
      </w:r>
      <w:r>
        <w:rPr>
          <w:rFonts w:hint="eastAsia" w:asciiTheme="minorEastAsia" w:hAnsiTheme="minorEastAsia" w:cstheme="minorEastAsia"/>
          <w:sz w:val="20"/>
          <w:szCs w:val="20"/>
        </w:rPr>
        <w:t>除外，其它地区生产的</w:t>
      </w:r>
      <w:r>
        <w:rPr>
          <w:rFonts w:hint="eastAsia" w:asciiTheme="minorEastAsia" w:hAnsiTheme="minorEastAsia" w:cstheme="minorEastAsia"/>
          <w:sz w:val="20"/>
          <w:szCs w:val="20"/>
          <w:lang w:eastAsia="zh-CN"/>
        </w:rPr>
        <w:t>蜂糖李</w:t>
      </w:r>
      <w:r>
        <w:rPr>
          <w:rFonts w:hint="eastAsia" w:asciiTheme="minorEastAsia" w:hAnsiTheme="minorEastAsia" w:cstheme="minorEastAsia"/>
          <w:sz w:val="20"/>
          <w:szCs w:val="20"/>
        </w:rPr>
        <w:t>也可参照使用。</w:t>
      </w:r>
    </w:p>
    <w:p w14:paraId="23F79040">
      <w:pPr>
        <w:adjustRightInd w:val="0"/>
        <w:snapToGrid w:val="0"/>
        <w:jc w:val="left"/>
        <w:rPr>
          <w:rFonts w:hint="eastAsia" w:asciiTheme="minorEastAsia" w:hAnsiTheme="minorEastAsia" w:cstheme="minorEastAsia"/>
          <w:sz w:val="20"/>
          <w:szCs w:val="20"/>
        </w:rPr>
      </w:pPr>
    </w:p>
    <w:p w14:paraId="6B65AAC2">
      <w:pPr>
        <w:adjustRightInd w:val="0"/>
        <w:snapToGrid w:val="0"/>
        <w:jc w:val="left"/>
        <w:outlineLvl w:val="0"/>
        <w:rPr>
          <w:rFonts w:hint="eastAsia" w:ascii="黑体" w:hAnsi="黑体" w:eastAsia="黑体" w:cs="黑体"/>
          <w:sz w:val="20"/>
          <w:szCs w:val="20"/>
        </w:rPr>
      </w:pPr>
      <w:bookmarkStart w:id="8" w:name="_Toc26062"/>
      <w:r>
        <w:rPr>
          <w:rFonts w:hint="eastAsia" w:ascii="黑体" w:hAnsi="黑体" w:eastAsia="黑体" w:cs="黑体"/>
          <w:sz w:val="20"/>
          <w:szCs w:val="20"/>
        </w:rPr>
        <w:t xml:space="preserve">2  </w:t>
      </w:r>
      <w:r>
        <w:rPr>
          <w:rFonts w:hint="eastAsia" w:ascii="黑体" w:hAnsi="黑体" w:eastAsia="黑体" w:cs="黑体"/>
          <w:sz w:val="20"/>
          <w:szCs w:val="20"/>
          <w:highlight w:val="none"/>
        </w:rPr>
        <w:t>规范性引用文件</w:t>
      </w:r>
      <w:bookmarkEnd w:id="8"/>
    </w:p>
    <w:p w14:paraId="3654C791">
      <w:pPr>
        <w:adjustRightInd w:val="0"/>
        <w:snapToGrid w:val="0"/>
        <w:jc w:val="left"/>
        <w:outlineLvl w:val="0"/>
        <w:rPr>
          <w:rFonts w:hint="eastAsia" w:ascii="黑体" w:hAnsi="黑体" w:eastAsia="黑体" w:cs="黑体"/>
          <w:sz w:val="20"/>
          <w:szCs w:val="20"/>
        </w:rPr>
      </w:pPr>
    </w:p>
    <w:p w14:paraId="6D78DF83">
      <w:pPr>
        <w:ind w:firstLine="400" w:firstLineChars="200"/>
        <w:rPr>
          <w:rFonts w:hint="eastAsia" w:asciiTheme="minorEastAsia" w:hAnsiTheme="minorEastAsia" w:cstheme="minorEastAsia"/>
          <w:sz w:val="20"/>
          <w:szCs w:val="20"/>
        </w:rPr>
      </w:pPr>
      <w:r>
        <w:rPr>
          <w:rFonts w:asciiTheme="minorEastAsia" w:hAnsiTheme="minorEastAsia" w:cstheme="minorEastAsia"/>
          <w:sz w:val="2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1239CA0">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GB 2762  食品安全国家标准  食品中污染物限量</w:t>
      </w:r>
    </w:p>
    <w:p w14:paraId="5E3C7FAA">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GB 2763  食品安全国家标准  食品中农药最大残留限量</w:t>
      </w:r>
    </w:p>
    <w:p w14:paraId="072A2846">
      <w:pPr>
        <w:ind w:firstLine="400" w:firstLineChars="200"/>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GB 5009.3  食品安全国家标准  食品中水分的测定</w:t>
      </w:r>
    </w:p>
    <w:p w14:paraId="51FA78EB">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GB 5009.</w:t>
      </w:r>
      <w:r>
        <w:rPr>
          <w:rFonts w:hint="eastAsia" w:asciiTheme="minorEastAsia" w:hAnsiTheme="minorEastAsia" w:cstheme="minorEastAsia"/>
          <w:sz w:val="20"/>
          <w:szCs w:val="20"/>
          <w:highlight w:val="none"/>
          <w:lang w:val="en-US" w:eastAsia="zh-CN"/>
        </w:rPr>
        <w:t>7</w:t>
      </w:r>
      <w:r>
        <w:rPr>
          <w:rFonts w:hint="eastAsia" w:asciiTheme="minorEastAsia" w:hAnsiTheme="minorEastAsia" w:cstheme="minorEastAsia"/>
          <w:sz w:val="20"/>
          <w:szCs w:val="20"/>
          <w:highlight w:val="none"/>
        </w:rPr>
        <w:t xml:space="preserve">  食品安全国家标准  食品中</w:t>
      </w:r>
      <w:r>
        <w:rPr>
          <w:rFonts w:hint="eastAsia" w:asciiTheme="minorEastAsia" w:hAnsiTheme="minorEastAsia" w:cstheme="minorEastAsia"/>
          <w:sz w:val="20"/>
          <w:szCs w:val="20"/>
          <w:highlight w:val="none"/>
          <w:lang w:eastAsia="zh-CN"/>
        </w:rPr>
        <w:t>还原糖</w:t>
      </w:r>
      <w:r>
        <w:rPr>
          <w:rFonts w:hint="eastAsia" w:asciiTheme="minorEastAsia" w:hAnsiTheme="minorEastAsia" w:cstheme="minorEastAsia"/>
          <w:sz w:val="20"/>
          <w:szCs w:val="20"/>
          <w:highlight w:val="none"/>
        </w:rPr>
        <w:t>的测定</w:t>
      </w:r>
    </w:p>
    <w:p w14:paraId="6F11CADF">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lang w:val="en-US" w:eastAsia="zh-CN"/>
        </w:rPr>
        <w:t>NY</w:t>
      </w:r>
      <w:r>
        <w:rPr>
          <w:rFonts w:hint="eastAsia" w:asciiTheme="minorEastAsia" w:hAnsiTheme="minorEastAsia" w:cstheme="minorEastAsia"/>
          <w:sz w:val="20"/>
          <w:szCs w:val="20"/>
          <w:highlight w:val="none"/>
        </w:rPr>
        <w:t>/T</w:t>
      </w:r>
      <w:r>
        <w:rPr>
          <w:rFonts w:hint="eastAsia" w:asciiTheme="minorEastAsia" w:hAnsiTheme="minorEastAsia" w:cstheme="minorEastAsia"/>
          <w:sz w:val="20"/>
          <w:szCs w:val="20"/>
          <w:highlight w:val="none"/>
          <w:lang w:val="en-US" w:eastAsia="zh-CN"/>
        </w:rPr>
        <w:t xml:space="preserve"> 839</w:t>
      </w:r>
      <w:r>
        <w:rPr>
          <w:rFonts w:hint="eastAsia" w:asciiTheme="minorEastAsia" w:hAnsiTheme="minorEastAsia" w:cstheme="minorEastAsia"/>
          <w:sz w:val="20"/>
          <w:szCs w:val="20"/>
          <w:highlight w:val="none"/>
        </w:rPr>
        <w:t xml:space="preserve">  鲜李</w:t>
      </w:r>
    </w:p>
    <w:p w14:paraId="51772B27">
      <w:pPr>
        <w:ind w:firstLine="400" w:firstLineChars="200"/>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NY/T 2009  水果硬度的测定</w:t>
      </w:r>
    </w:p>
    <w:p w14:paraId="39B75295">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lang w:val="en-US" w:eastAsia="zh-CN"/>
        </w:rPr>
        <w:t>NY</w:t>
      </w:r>
      <w:r>
        <w:rPr>
          <w:rFonts w:hint="eastAsia" w:asciiTheme="minorEastAsia" w:hAnsiTheme="minorEastAsia" w:cstheme="minorEastAsia"/>
          <w:sz w:val="20"/>
          <w:szCs w:val="20"/>
        </w:rPr>
        <w:t xml:space="preserve">/T </w:t>
      </w:r>
      <w:r>
        <w:rPr>
          <w:rFonts w:hint="eastAsia" w:asciiTheme="minorEastAsia" w:hAnsiTheme="minorEastAsia" w:cstheme="minorEastAsia"/>
          <w:sz w:val="20"/>
          <w:szCs w:val="20"/>
          <w:lang w:val="en-US" w:eastAsia="zh-CN"/>
        </w:rPr>
        <w:t>5344.4</w:t>
      </w:r>
      <w:r>
        <w:rPr>
          <w:rFonts w:hint="eastAsia" w:asciiTheme="minorEastAsia" w:hAnsiTheme="minorEastAsia" w:cstheme="minorEastAsia"/>
          <w:sz w:val="20"/>
          <w:szCs w:val="20"/>
          <w:highlight w:val="none"/>
        </w:rPr>
        <w:t xml:space="preserve">  无公害食品产品抽样规范第4部分：水果</w:t>
      </w:r>
    </w:p>
    <w:p w14:paraId="340DC9AB">
      <w:pPr>
        <w:jc w:val="left"/>
        <w:rPr>
          <w:rFonts w:hint="eastAsia" w:ascii="宋体" w:hAnsi="宋体" w:eastAsia="宋体" w:cs="宋体"/>
          <w:szCs w:val="21"/>
        </w:rPr>
      </w:pPr>
    </w:p>
    <w:p w14:paraId="0FFE6DF4">
      <w:pPr>
        <w:adjustRightInd w:val="0"/>
        <w:snapToGrid w:val="0"/>
        <w:jc w:val="left"/>
        <w:outlineLvl w:val="0"/>
        <w:rPr>
          <w:rFonts w:hint="eastAsia" w:ascii="黑体" w:hAnsi="黑体" w:eastAsia="黑体" w:cs="黑体"/>
          <w:sz w:val="20"/>
          <w:szCs w:val="20"/>
        </w:rPr>
      </w:pPr>
      <w:bookmarkStart w:id="9" w:name="_Toc12152"/>
      <w:r>
        <w:rPr>
          <w:rFonts w:hint="eastAsia" w:ascii="黑体" w:hAnsi="黑体" w:eastAsia="黑体" w:cs="黑体"/>
          <w:sz w:val="20"/>
          <w:szCs w:val="20"/>
        </w:rPr>
        <w:t>3  术语和定义</w:t>
      </w:r>
      <w:bookmarkEnd w:id="9"/>
    </w:p>
    <w:p w14:paraId="2ECCF266">
      <w:pPr>
        <w:adjustRightInd w:val="0"/>
        <w:snapToGrid w:val="0"/>
        <w:jc w:val="left"/>
        <w:outlineLvl w:val="0"/>
        <w:rPr>
          <w:rFonts w:hint="eastAsia" w:ascii="黑体" w:hAnsi="黑体" w:eastAsia="黑体" w:cs="黑体"/>
          <w:sz w:val="20"/>
          <w:szCs w:val="20"/>
        </w:rPr>
      </w:pPr>
    </w:p>
    <w:p w14:paraId="0CDAD303">
      <w:pPr>
        <w:keepNext w:val="0"/>
        <w:keepLines w:val="0"/>
        <w:widowControl/>
        <w:suppressLineNumbers w:val="0"/>
        <w:ind w:firstLine="400" w:firstLineChars="200"/>
        <w:jc w:val="left"/>
      </w:pPr>
      <w:r>
        <w:rPr>
          <w:rFonts w:hint="eastAsia" w:ascii="宋体" w:hAnsi="宋体" w:eastAsia="宋体" w:cs="宋体"/>
          <w:color w:val="000000"/>
          <w:kern w:val="0"/>
          <w:sz w:val="20"/>
          <w:szCs w:val="20"/>
          <w:lang w:val="en-US" w:eastAsia="zh-CN" w:bidi="ar"/>
        </w:rPr>
        <w:t>GB/T 23351中界定的术语和定义适用于本文件。</w:t>
      </w:r>
    </w:p>
    <w:p w14:paraId="3FF012E0">
      <w:pPr>
        <w:adjustRightInd w:val="0"/>
        <w:snapToGrid w:val="0"/>
        <w:ind w:firstLine="400" w:firstLineChars="200"/>
        <w:jc w:val="left"/>
        <w:outlineLvl w:val="0"/>
        <w:rPr>
          <w:rFonts w:hint="eastAsia" w:asciiTheme="minorEastAsia" w:hAnsiTheme="minorEastAsia" w:cstheme="minorEastAsia"/>
          <w:sz w:val="20"/>
          <w:szCs w:val="20"/>
        </w:rPr>
      </w:pPr>
      <w:r>
        <w:rPr>
          <w:rFonts w:hint="eastAsia" w:ascii="黑体" w:hAnsi="黑体" w:eastAsia="黑体" w:cs="黑体"/>
          <w:sz w:val="20"/>
          <w:szCs w:val="20"/>
        </w:rPr>
        <w:t xml:space="preserve"> </w:t>
      </w:r>
    </w:p>
    <w:p w14:paraId="7810F356">
      <w:pPr>
        <w:adjustRightInd w:val="0"/>
        <w:snapToGrid w:val="0"/>
        <w:jc w:val="left"/>
        <w:outlineLvl w:val="0"/>
        <w:rPr>
          <w:rFonts w:hint="eastAsia" w:ascii="黑体" w:hAnsi="黑体" w:eastAsia="黑体" w:cs="黑体"/>
          <w:sz w:val="20"/>
          <w:szCs w:val="20"/>
        </w:rPr>
      </w:pPr>
      <w:bookmarkStart w:id="10" w:name="_Toc2010"/>
      <w:r>
        <w:rPr>
          <w:rFonts w:hint="eastAsia" w:ascii="黑体" w:hAnsi="黑体" w:eastAsia="黑体" w:cs="黑体"/>
          <w:sz w:val="20"/>
          <w:szCs w:val="20"/>
        </w:rPr>
        <w:t>4  分级要求</w:t>
      </w:r>
      <w:bookmarkEnd w:id="10"/>
    </w:p>
    <w:p w14:paraId="3D5433E3">
      <w:pPr>
        <w:adjustRightInd w:val="0"/>
        <w:snapToGrid w:val="0"/>
        <w:jc w:val="left"/>
        <w:outlineLvl w:val="0"/>
        <w:rPr>
          <w:rFonts w:hint="eastAsia" w:ascii="黑体" w:hAnsi="黑体" w:eastAsia="黑体" w:cs="黑体"/>
          <w:sz w:val="20"/>
          <w:szCs w:val="20"/>
        </w:rPr>
      </w:pPr>
    </w:p>
    <w:p w14:paraId="625758DD">
      <w:pPr>
        <w:adjustRightInd w:val="0"/>
        <w:snapToGrid w:val="0"/>
        <w:spacing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4.1  追溯要求</w:t>
      </w:r>
    </w:p>
    <w:p w14:paraId="4BF9087A">
      <w:pPr>
        <w:adjustRightInd w:val="0"/>
        <w:snapToGrid w:val="0"/>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具有承诺达标合格证或其它追溯码可追溯至种植基地。</w:t>
      </w:r>
    </w:p>
    <w:p w14:paraId="2BC70344">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4.2  安全要求</w:t>
      </w:r>
    </w:p>
    <w:p w14:paraId="0CD52478">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4.2.1</w:t>
      </w:r>
      <w:r>
        <w:rPr>
          <w:rFonts w:hint="eastAsia" w:asciiTheme="minorEastAsia" w:hAnsiTheme="minorEastAsia" w:cstheme="minorEastAsia"/>
          <w:sz w:val="20"/>
          <w:szCs w:val="20"/>
        </w:rPr>
        <w:t xml:space="preserve">  污染物限量应符合GB 2762的规定。</w:t>
      </w:r>
    </w:p>
    <w:p w14:paraId="67E4BE1F">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4.2.2</w:t>
      </w:r>
      <w:r>
        <w:rPr>
          <w:rFonts w:hint="eastAsia" w:asciiTheme="minorEastAsia" w:hAnsiTheme="minorEastAsia" w:cstheme="minorEastAsia"/>
          <w:sz w:val="20"/>
          <w:szCs w:val="20"/>
        </w:rPr>
        <w:t xml:space="preserve">  农药最大残留限量应符合GB 2763的规定。</w:t>
      </w:r>
    </w:p>
    <w:p w14:paraId="5C346D91">
      <w:pPr>
        <w:adjustRightInd w:val="0"/>
        <w:snapToGrid w:val="0"/>
        <w:spacing w:before="156" w:beforeLines="50" w:after="156" w:afterLines="50"/>
        <w:ind w:firstLine="403"/>
        <w:jc w:val="left"/>
        <w:rPr>
          <w:rFonts w:hint="eastAsia" w:ascii="黑体" w:hAnsi="黑体" w:eastAsia="黑体" w:cs="黑体"/>
          <w:sz w:val="20"/>
          <w:szCs w:val="20"/>
        </w:rPr>
      </w:pPr>
      <w:r>
        <w:rPr>
          <w:rFonts w:hint="eastAsia" w:ascii="黑体" w:hAnsi="黑体" w:eastAsia="黑体" w:cs="黑体"/>
          <w:sz w:val="20"/>
          <w:szCs w:val="20"/>
        </w:rPr>
        <w:t>4.3  外观要求</w:t>
      </w:r>
    </w:p>
    <w:p w14:paraId="625C480A">
      <w:pPr>
        <w:adjustRightInd w:val="0"/>
        <w:snapToGrid w:val="0"/>
        <w:spacing w:before="156" w:beforeLines="50" w:after="156" w:afterLines="50"/>
        <w:jc w:val="center"/>
        <w:rPr>
          <w:rFonts w:hint="eastAsia" w:ascii="黑体" w:hAnsi="黑体" w:eastAsia="黑体" w:cs="黑体"/>
          <w:sz w:val="20"/>
          <w:szCs w:val="20"/>
          <w:highlight w:val="none"/>
        </w:rPr>
      </w:pPr>
      <w:r>
        <w:rPr>
          <w:rFonts w:hint="eastAsia" w:ascii="黑体" w:hAnsi="黑体" w:eastAsia="黑体" w:cs="黑体"/>
          <w:sz w:val="20"/>
          <w:szCs w:val="20"/>
          <w:highlight w:val="none"/>
        </w:rPr>
        <w:t xml:space="preserve">表1  </w:t>
      </w:r>
      <w:r>
        <w:rPr>
          <w:rFonts w:hint="eastAsia" w:ascii="黑体" w:hAnsi="黑体" w:eastAsia="黑体" w:cs="黑体"/>
          <w:sz w:val="20"/>
          <w:szCs w:val="20"/>
          <w:highlight w:val="none"/>
          <w:lang w:eastAsia="zh-CN"/>
        </w:rPr>
        <w:t>蜂糖李外观</w:t>
      </w:r>
      <w:r>
        <w:rPr>
          <w:rFonts w:hint="eastAsia" w:ascii="黑体" w:hAnsi="黑体" w:eastAsia="黑体" w:cs="黑体"/>
          <w:sz w:val="20"/>
          <w:szCs w:val="20"/>
          <w:highlight w:val="none"/>
        </w:rPr>
        <w:t>要求</w:t>
      </w:r>
    </w:p>
    <w:tbl>
      <w:tblPr>
        <w:tblStyle w:val="7"/>
        <w:tblW w:w="489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629"/>
        <w:gridCol w:w="2035"/>
        <w:gridCol w:w="2037"/>
        <w:gridCol w:w="2052"/>
      </w:tblGrid>
      <w:tr w14:paraId="08DC26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60" w:type="pct"/>
            <w:vMerge w:val="restart"/>
            <w:tcBorders>
              <w:top w:val="single" w:color="auto" w:sz="8" w:space="0"/>
              <w:left w:val="single" w:color="auto" w:sz="8" w:space="0"/>
              <w:bottom w:val="single" w:color="auto" w:sz="4" w:space="0"/>
              <w:right w:val="single" w:color="auto" w:sz="4" w:space="0"/>
            </w:tcBorders>
            <w:vAlign w:val="center"/>
          </w:tcPr>
          <w:p w14:paraId="094484D9">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项  目</w:t>
            </w:r>
          </w:p>
        </w:tc>
        <w:tc>
          <w:tcPr>
            <w:tcW w:w="3139" w:type="pct"/>
            <w:gridSpan w:val="3"/>
            <w:tcBorders>
              <w:top w:val="single" w:color="auto" w:sz="8" w:space="0"/>
              <w:left w:val="single" w:color="auto" w:sz="4" w:space="0"/>
              <w:bottom w:val="single" w:color="auto" w:sz="4" w:space="0"/>
              <w:right w:val="single" w:color="auto" w:sz="8" w:space="0"/>
            </w:tcBorders>
            <w:vAlign w:val="center"/>
          </w:tcPr>
          <w:p w14:paraId="24A92AD0">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等      级</w:t>
            </w:r>
          </w:p>
        </w:tc>
      </w:tr>
      <w:tr w14:paraId="117DC5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60" w:type="pct"/>
            <w:vMerge w:val="continue"/>
            <w:tcBorders>
              <w:top w:val="single" w:color="auto" w:sz="4" w:space="0"/>
              <w:left w:val="single" w:color="auto" w:sz="8" w:space="0"/>
              <w:bottom w:val="single" w:color="auto" w:sz="8" w:space="0"/>
              <w:right w:val="single" w:color="auto" w:sz="4" w:space="0"/>
            </w:tcBorders>
            <w:vAlign w:val="center"/>
          </w:tcPr>
          <w:p w14:paraId="00CF6418">
            <w:pPr>
              <w:adjustRightInd w:val="0"/>
              <w:snapToGrid w:val="0"/>
              <w:jc w:val="center"/>
              <w:textAlignment w:val="center"/>
              <w:rPr>
                <w:rFonts w:hint="eastAsia" w:asciiTheme="minorEastAsia" w:hAnsiTheme="minorEastAsia" w:cstheme="minorEastAsia"/>
                <w:sz w:val="20"/>
                <w:szCs w:val="20"/>
              </w:rPr>
            </w:pPr>
          </w:p>
        </w:tc>
        <w:tc>
          <w:tcPr>
            <w:tcW w:w="1043" w:type="pct"/>
            <w:tcBorders>
              <w:top w:val="single" w:color="auto" w:sz="4" w:space="0"/>
              <w:left w:val="single" w:color="auto" w:sz="4" w:space="0"/>
              <w:bottom w:val="single" w:color="auto" w:sz="8" w:space="0"/>
              <w:right w:val="single" w:color="auto" w:sz="4" w:space="0"/>
            </w:tcBorders>
            <w:vAlign w:val="center"/>
          </w:tcPr>
          <w:p w14:paraId="2F3F8D17">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A+</w:t>
            </w:r>
          </w:p>
        </w:tc>
        <w:tc>
          <w:tcPr>
            <w:tcW w:w="1044" w:type="pct"/>
            <w:tcBorders>
              <w:top w:val="single" w:color="auto" w:sz="4" w:space="0"/>
              <w:left w:val="single" w:color="auto" w:sz="4" w:space="0"/>
              <w:bottom w:val="single" w:color="auto" w:sz="8" w:space="0"/>
              <w:right w:val="single" w:color="auto" w:sz="4" w:space="0"/>
            </w:tcBorders>
            <w:vAlign w:val="center"/>
          </w:tcPr>
          <w:p w14:paraId="341470D1">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A</w:t>
            </w:r>
          </w:p>
        </w:tc>
        <w:tc>
          <w:tcPr>
            <w:tcW w:w="1051" w:type="pct"/>
            <w:tcBorders>
              <w:top w:val="single" w:color="auto" w:sz="4" w:space="0"/>
              <w:left w:val="single" w:color="auto" w:sz="4" w:space="0"/>
              <w:bottom w:val="single" w:color="auto" w:sz="8" w:space="0"/>
              <w:right w:val="single" w:color="auto" w:sz="8" w:space="0"/>
            </w:tcBorders>
            <w:vAlign w:val="center"/>
          </w:tcPr>
          <w:p w14:paraId="0F38CF84">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B</w:t>
            </w:r>
          </w:p>
        </w:tc>
      </w:tr>
      <w:tr w14:paraId="6CF208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60" w:type="pct"/>
            <w:tcBorders>
              <w:top w:val="single" w:color="auto" w:sz="8" w:space="0"/>
              <w:tl2br w:val="nil"/>
              <w:tr2bl w:val="nil"/>
            </w:tcBorders>
            <w:vAlign w:val="center"/>
          </w:tcPr>
          <w:p w14:paraId="20FC2CA5">
            <w:pPr>
              <w:adjustRightInd w:val="0"/>
              <w:snapToGrid w:val="0"/>
              <w:jc w:val="left"/>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果实形态特征            </w:t>
            </w:r>
          </w:p>
        </w:tc>
        <w:tc>
          <w:tcPr>
            <w:tcW w:w="3139" w:type="pct"/>
            <w:gridSpan w:val="3"/>
            <w:tcBorders>
              <w:top w:val="single" w:color="auto" w:sz="8" w:space="0"/>
              <w:tl2br w:val="nil"/>
              <w:tr2bl w:val="nil"/>
            </w:tcBorders>
            <w:vAlign w:val="center"/>
          </w:tcPr>
          <w:p w14:paraId="05496D48">
            <w:pPr>
              <w:adjustRightInd w:val="0"/>
              <w:snapToGrid w:val="0"/>
              <w:jc w:val="left"/>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果形扁圆形，果顶平；果被蜡粉，缝合线深，果皮浅黄绿色，果肉淡黄色；核小，可食率高，离核，味甘甜；果肉致密酥脆，有香气。</w:t>
            </w:r>
          </w:p>
        </w:tc>
      </w:tr>
      <w:tr w14:paraId="20D76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60" w:type="pct"/>
            <w:tcBorders>
              <w:tl2br w:val="nil"/>
              <w:tr2bl w:val="nil"/>
            </w:tcBorders>
            <w:vAlign w:val="center"/>
          </w:tcPr>
          <w:p w14:paraId="2C9664C7">
            <w:pPr>
              <w:adjustRightInd w:val="0"/>
              <w:snapToGrid w:val="0"/>
              <w:jc w:val="left"/>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缺陷果（%）                       ≤</w:t>
            </w:r>
          </w:p>
        </w:tc>
        <w:tc>
          <w:tcPr>
            <w:tcW w:w="1043" w:type="pct"/>
            <w:tcBorders>
              <w:tl2br w:val="nil"/>
              <w:tr2bl w:val="nil"/>
            </w:tcBorders>
            <w:vAlign w:val="center"/>
          </w:tcPr>
          <w:p w14:paraId="20A4F7AB">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0</w:t>
            </w:r>
          </w:p>
        </w:tc>
        <w:tc>
          <w:tcPr>
            <w:tcW w:w="1044" w:type="pct"/>
            <w:tcBorders>
              <w:tl2br w:val="nil"/>
              <w:tr2bl w:val="nil"/>
            </w:tcBorders>
            <w:vAlign w:val="center"/>
          </w:tcPr>
          <w:p w14:paraId="73BE18A2">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2</w:t>
            </w:r>
          </w:p>
        </w:tc>
        <w:tc>
          <w:tcPr>
            <w:tcW w:w="1051" w:type="pct"/>
            <w:tcBorders>
              <w:tl2br w:val="nil"/>
              <w:tr2bl w:val="nil"/>
            </w:tcBorders>
            <w:vAlign w:val="center"/>
          </w:tcPr>
          <w:p w14:paraId="5EC403EC">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5</w:t>
            </w:r>
          </w:p>
        </w:tc>
      </w:tr>
      <w:tr w14:paraId="33949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60" w:type="pct"/>
            <w:tcBorders>
              <w:tl2br w:val="nil"/>
              <w:tr2bl w:val="nil"/>
            </w:tcBorders>
            <w:vAlign w:val="center"/>
          </w:tcPr>
          <w:p w14:paraId="61D76445">
            <w:pPr>
              <w:adjustRightInd w:val="0"/>
              <w:snapToGrid w:val="0"/>
              <w:jc w:val="left"/>
              <w:textAlignment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lang w:val="en-US" w:eastAsia="zh-CN"/>
              </w:rPr>
              <w:t>果径（mm）                      ≥</w:t>
            </w:r>
          </w:p>
        </w:tc>
        <w:tc>
          <w:tcPr>
            <w:tcW w:w="1043" w:type="pct"/>
            <w:tcBorders>
              <w:tl2br w:val="nil"/>
              <w:tr2bl w:val="nil"/>
            </w:tcBorders>
            <w:vAlign w:val="center"/>
          </w:tcPr>
          <w:p w14:paraId="027D0B88">
            <w:pPr>
              <w:adjustRightInd w:val="0"/>
              <w:snapToGrid w:val="0"/>
              <w:jc w:val="center"/>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45.0</w:t>
            </w:r>
          </w:p>
        </w:tc>
        <w:tc>
          <w:tcPr>
            <w:tcW w:w="1044" w:type="pct"/>
            <w:tcBorders>
              <w:tl2br w:val="nil"/>
              <w:tr2bl w:val="nil"/>
            </w:tcBorders>
            <w:vAlign w:val="center"/>
          </w:tcPr>
          <w:p w14:paraId="4FFAF2DF">
            <w:pPr>
              <w:adjustRightInd w:val="0"/>
              <w:snapToGrid w:val="0"/>
              <w:jc w:val="center"/>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40.0</w:t>
            </w:r>
          </w:p>
        </w:tc>
        <w:tc>
          <w:tcPr>
            <w:tcW w:w="1051" w:type="pct"/>
            <w:tcBorders>
              <w:tl2br w:val="nil"/>
              <w:tr2bl w:val="nil"/>
            </w:tcBorders>
            <w:vAlign w:val="center"/>
          </w:tcPr>
          <w:p w14:paraId="5C79875C">
            <w:pPr>
              <w:adjustRightInd w:val="0"/>
              <w:snapToGrid w:val="0"/>
              <w:jc w:val="center"/>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35.0</w:t>
            </w:r>
          </w:p>
        </w:tc>
      </w:tr>
    </w:tbl>
    <w:p w14:paraId="025807C3">
      <w:pPr>
        <w:adjustRightInd w:val="0"/>
        <w:snapToGrid w:val="0"/>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4.4  品质等级要求</w:t>
      </w:r>
    </w:p>
    <w:p w14:paraId="062E840F">
      <w:pPr>
        <w:adjustRightInd w:val="0"/>
        <w:snapToGrid w:val="0"/>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lang w:eastAsia="zh-CN"/>
        </w:rPr>
        <w:t>蜂糖李</w:t>
      </w:r>
      <w:r>
        <w:rPr>
          <w:rFonts w:hint="eastAsia" w:asciiTheme="minorEastAsia" w:hAnsiTheme="minorEastAsia" w:cstheme="minorEastAsia"/>
          <w:sz w:val="20"/>
          <w:szCs w:val="20"/>
        </w:rPr>
        <w:t>分为三个等级，各品质等级要求见表1。</w:t>
      </w:r>
    </w:p>
    <w:p w14:paraId="418CDA1D">
      <w:pPr>
        <w:adjustRightInd w:val="0"/>
        <w:snapToGrid w:val="0"/>
        <w:spacing w:before="156" w:beforeLines="50" w:after="156" w:afterLines="50"/>
        <w:jc w:val="center"/>
        <w:rPr>
          <w:rFonts w:hint="eastAsia" w:ascii="黑体" w:hAnsi="黑体" w:eastAsia="黑体" w:cs="黑体"/>
          <w:sz w:val="20"/>
          <w:szCs w:val="20"/>
        </w:rPr>
      </w:pPr>
      <w:r>
        <w:rPr>
          <w:rFonts w:hint="eastAsia" w:ascii="黑体" w:hAnsi="黑体" w:eastAsia="黑体" w:cs="黑体"/>
          <w:sz w:val="20"/>
          <w:szCs w:val="20"/>
        </w:rPr>
        <w:t xml:space="preserve">表2  </w:t>
      </w:r>
      <w:r>
        <w:rPr>
          <w:rFonts w:hint="eastAsia" w:ascii="黑体" w:hAnsi="黑体" w:eastAsia="黑体" w:cs="黑体"/>
          <w:sz w:val="20"/>
          <w:szCs w:val="20"/>
          <w:lang w:eastAsia="zh-CN"/>
        </w:rPr>
        <w:t>蜂糖李</w:t>
      </w:r>
      <w:r>
        <w:rPr>
          <w:rFonts w:hint="eastAsia" w:ascii="黑体" w:hAnsi="黑体" w:eastAsia="黑体" w:cs="黑体"/>
          <w:sz w:val="20"/>
          <w:szCs w:val="20"/>
        </w:rPr>
        <w:t>品质等级要求</w:t>
      </w:r>
    </w:p>
    <w:tbl>
      <w:tblPr>
        <w:tblStyle w:val="7"/>
        <w:tblW w:w="489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627"/>
        <w:gridCol w:w="2029"/>
        <w:gridCol w:w="2043"/>
        <w:gridCol w:w="2054"/>
      </w:tblGrid>
      <w:tr w14:paraId="205B6E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vMerge w:val="restart"/>
            <w:tcBorders>
              <w:top w:val="single" w:color="auto" w:sz="8" w:space="0"/>
              <w:left w:val="single" w:color="auto" w:sz="8" w:space="0"/>
              <w:bottom w:val="single" w:color="auto" w:sz="4" w:space="0"/>
              <w:right w:val="single" w:color="auto" w:sz="4" w:space="0"/>
            </w:tcBorders>
            <w:vAlign w:val="center"/>
          </w:tcPr>
          <w:p w14:paraId="539870E1">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项  目</w:t>
            </w:r>
          </w:p>
        </w:tc>
        <w:tc>
          <w:tcPr>
            <w:tcW w:w="3140" w:type="pct"/>
            <w:gridSpan w:val="3"/>
            <w:tcBorders>
              <w:top w:val="single" w:color="auto" w:sz="8" w:space="0"/>
              <w:left w:val="single" w:color="auto" w:sz="4" w:space="0"/>
              <w:bottom w:val="single" w:color="auto" w:sz="4" w:space="0"/>
              <w:right w:val="single" w:color="auto" w:sz="8" w:space="0"/>
            </w:tcBorders>
            <w:vAlign w:val="center"/>
          </w:tcPr>
          <w:p w14:paraId="1A2F36F1">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等      级</w:t>
            </w:r>
          </w:p>
        </w:tc>
      </w:tr>
      <w:tr w14:paraId="38A9CD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vMerge w:val="continue"/>
            <w:tcBorders>
              <w:top w:val="single" w:color="auto" w:sz="4" w:space="0"/>
              <w:left w:val="single" w:color="auto" w:sz="8" w:space="0"/>
              <w:bottom w:val="single" w:color="auto" w:sz="8" w:space="0"/>
              <w:right w:val="single" w:color="auto" w:sz="4" w:space="0"/>
            </w:tcBorders>
            <w:vAlign w:val="center"/>
          </w:tcPr>
          <w:p w14:paraId="6EB6919A">
            <w:pPr>
              <w:adjustRightInd w:val="0"/>
              <w:snapToGrid w:val="0"/>
              <w:jc w:val="center"/>
              <w:textAlignment w:val="center"/>
              <w:rPr>
                <w:rFonts w:hint="eastAsia" w:asciiTheme="minorEastAsia" w:hAnsiTheme="minorEastAsia" w:cstheme="minorEastAsia"/>
                <w:sz w:val="20"/>
                <w:szCs w:val="20"/>
              </w:rPr>
            </w:pPr>
          </w:p>
        </w:tc>
        <w:tc>
          <w:tcPr>
            <w:tcW w:w="1040" w:type="pct"/>
            <w:tcBorders>
              <w:top w:val="single" w:color="auto" w:sz="4" w:space="0"/>
              <w:left w:val="single" w:color="auto" w:sz="4" w:space="0"/>
              <w:bottom w:val="single" w:color="auto" w:sz="8" w:space="0"/>
              <w:right w:val="single" w:color="auto" w:sz="4" w:space="0"/>
            </w:tcBorders>
            <w:vAlign w:val="center"/>
          </w:tcPr>
          <w:p w14:paraId="6CFCA6B2">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A+</w:t>
            </w:r>
          </w:p>
        </w:tc>
        <w:tc>
          <w:tcPr>
            <w:tcW w:w="1047" w:type="pct"/>
            <w:tcBorders>
              <w:top w:val="single" w:color="auto" w:sz="4" w:space="0"/>
              <w:left w:val="single" w:color="auto" w:sz="4" w:space="0"/>
              <w:bottom w:val="single" w:color="auto" w:sz="8" w:space="0"/>
              <w:right w:val="single" w:color="auto" w:sz="4" w:space="0"/>
            </w:tcBorders>
            <w:vAlign w:val="center"/>
          </w:tcPr>
          <w:p w14:paraId="3393EE48">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A</w:t>
            </w:r>
          </w:p>
        </w:tc>
        <w:tc>
          <w:tcPr>
            <w:tcW w:w="1053" w:type="pct"/>
            <w:tcBorders>
              <w:top w:val="single" w:color="auto" w:sz="4" w:space="0"/>
              <w:left w:val="single" w:color="auto" w:sz="4" w:space="0"/>
              <w:bottom w:val="single" w:color="auto" w:sz="8" w:space="0"/>
              <w:right w:val="single" w:color="auto" w:sz="8" w:space="0"/>
            </w:tcBorders>
            <w:vAlign w:val="center"/>
          </w:tcPr>
          <w:p w14:paraId="4D28FE1F">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B</w:t>
            </w:r>
          </w:p>
        </w:tc>
      </w:tr>
      <w:tr w14:paraId="5D106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210DB8EE">
            <w:pPr>
              <w:adjustRightInd w:val="0"/>
              <w:snapToGrid w:val="0"/>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可溶性固形物（%）                ≥</w:t>
            </w:r>
          </w:p>
        </w:tc>
        <w:tc>
          <w:tcPr>
            <w:tcW w:w="1040" w:type="pct"/>
            <w:tcBorders>
              <w:tl2br w:val="nil"/>
              <w:tr2bl w:val="nil"/>
            </w:tcBorders>
            <w:vAlign w:val="center"/>
          </w:tcPr>
          <w:p w14:paraId="267C5901">
            <w:pPr>
              <w:adjustRightInd w:val="0"/>
              <w:snapToGrid w:val="0"/>
              <w:jc w:val="center"/>
              <w:textAlignment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lang w:val="en-US" w:eastAsia="zh-CN"/>
              </w:rPr>
              <w:t>14.0</w:t>
            </w:r>
          </w:p>
        </w:tc>
        <w:tc>
          <w:tcPr>
            <w:tcW w:w="1047" w:type="pct"/>
            <w:tcBorders>
              <w:tl2br w:val="nil"/>
              <w:tr2bl w:val="nil"/>
            </w:tcBorders>
            <w:vAlign w:val="center"/>
          </w:tcPr>
          <w:p w14:paraId="0B6F4D57">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12.0</w:t>
            </w:r>
          </w:p>
        </w:tc>
        <w:tc>
          <w:tcPr>
            <w:tcW w:w="1053" w:type="pct"/>
            <w:tcBorders>
              <w:tl2br w:val="nil"/>
              <w:tr2bl w:val="nil"/>
            </w:tcBorders>
            <w:vAlign w:val="center"/>
          </w:tcPr>
          <w:p w14:paraId="47F6AB24">
            <w:pPr>
              <w:adjustRightInd w:val="0"/>
              <w:snapToGrid w:val="0"/>
              <w:jc w:val="center"/>
              <w:textAlignment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lang w:val="en-US" w:eastAsia="zh-CN"/>
              </w:rPr>
              <w:t>10.0</w:t>
            </w:r>
          </w:p>
        </w:tc>
      </w:tr>
      <w:tr w14:paraId="49EF49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5979A053">
            <w:pPr>
              <w:adjustRightInd w:val="0"/>
              <w:snapToGrid w:val="0"/>
              <w:jc w:val="left"/>
              <w:textAlignment w:val="center"/>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lang w:eastAsia="zh-CN"/>
              </w:rPr>
              <w:t>总</w:t>
            </w:r>
            <w:r>
              <w:rPr>
                <w:rFonts w:hint="eastAsia" w:asciiTheme="minorEastAsia" w:hAnsiTheme="minorEastAsia" w:cstheme="minorEastAsia"/>
                <w:sz w:val="20"/>
                <w:szCs w:val="20"/>
                <w:highlight w:val="none"/>
              </w:rPr>
              <w:t>酸（以苹果酸计）（</w:t>
            </w:r>
            <w:r>
              <w:rPr>
                <w:rFonts w:hint="eastAsia" w:asciiTheme="minorEastAsia" w:hAnsiTheme="minorEastAsia" w:cstheme="minorEastAsia"/>
                <w:sz w:val="20"/>
                <w:szCs w:val="20"/>
                <w:highlight w:val="none"/>
                <w:lang w:val="en-US" w:eastAsia="zh-CN"/>
              </w:rPr>
              <w:t>%</w:t>
            </w:r>
            <w:r>
              <w:rPr>
                <w:rFonts w:hint="eastAsia" w:asciiTheme="minorEastAsia" w:hAnsiTheme="minorEastAsia" w:cstheme="minorEastAsia"/>
                <w:sz w:val="20"/>
                <w:szCs w:val="20"/>
                <w:highlight w:val="none"/>
              </w:rPr>
              <w:t xml:space="preserve">）      </w:t>
            </w:r>
            <w:r>
              <w:rPr>
                <w:rFonts w:hint="eastAsia" w:asciiTheme="minorEastAsia" w:hAnsiTheme="minorEastAsia" w:cstheme="minorEastAsia"/>
                <w:sz w:val="20"/>
                <w:szCs w:val="20"/>
                <w:highlight w:val="none"/>
                <w:lang w:val="en-US" w:eastAsia="zh-CN"/>
              </w:rPr>
              <w:t xml:space="preserve">   </w:t>
            </w:r>
            <w:r>
              <w:rPr>
                <w:rFonts w:hint="eastAsia" w:asciiTheme="minorEastAsia" w:hAnsiTheme="minorEastAsia" w:cstheme="minorEastAsia"/>
                <w:sz w:val="20"/>
                <w:szCs w:val="20"/>
                <w:highlight w:val="none"/>
              </w:rPr>
              <w:t>≤</w:t>
            </w:r>
          </w:p>
        </w:tc>
        <w:tc>
          <w:tcPr>
            <w:tcW w:w="1040" w:type="pct"/>
            <w:tcBorders>
              <w:tl2br w:val="nil"/>
              <w:tr2bl w:val="nil"/>
            </w:tcBorders>
            <w:vAlign w:val="center"/>
          </w:tcPr>
          <w:p w14:paraId="2A087468">
            <w:pPr>
              <w:adjustRightInd w:val="0"/>
              <w:snapToGrid w:val="0"/>
              <w:jc w:val="center"/>
              <w:textAlignment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40</w:t>
            </w:r>
          </w:p>
        </w:tc>
        <w:tc>
          <w:tcPr>
            <w:tcW w:w="1047" w:type="pct"/>
            <w:tcBorders>
              <w:tl2br w:val="nil"/>
              <w:tr2bl w:val="nil"/>
            </w:tcBorders>
            <w:vAlign w:val="center"/>
          </w:tcPr>
          <w:p w14:paraId="216694F9">
            <w:pPr>
              <w:adjustRightInd w:val="0"/>
              <w:snapToGrid w:val="0"/>
              <w:jc w:val="center"/>
              <w:textAlignment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0.50</w:t>
            </w:r>
          </w:p>
        </w:tc>
        <w:tc>
          <w:tcPr>
            <w:tcW w:w="1053" w:type="pct"/>
            <w:tcBorders>
              <w:tl2br w:val="nil"/>
              <w:tr2bl w:val="nil"/>
            </w:tcBorders>
            <w:vAlign w:val="center"/>
          </w:tcPr>
          <w:p w14:paraId="776DCA1A">
            <w:pPr>
              <w:adjustRightInd w:val="0"/>
              <w:snapToGrid w:val="0"/>
              <w:jc w:val="center"/>
              <w:textAlignment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0.60</w:t>
            </w:r>
          </w:p>
        </w:tc>
      </w:tr>
      <w:tr w14:paraId="436C4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5862802E">
            <w:pPr>
              <w:adjustRightInd w:val="0"/>
              <w:snapToGrid w:val="0"/>
              <w:jc w:val="left"/>
              <w:textAlignment w:val="center"/>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eastAsia="zh-CN"/>
              </w:rPr>
              <w:t>水分（</w:t>
            </w:r>
            <w:r>
              <w:rPr>
                <w:rFonts w:hint="eastAsia" w:asciiTheme="minorEastAsia" w:hAnsiTheme="minorEastAsia" w:cstheme="minorEastAsia"/>
                <w:sz w:val="20"/>
                <w:szCs w:val="20"/>
                <w:lang w:val="en-US" w:eastAsia="zh-CN"/>
              </w:rPr>
              <w:t>%</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 xml:space="preserve">                        ≥</w:t>
            </w:r>
          </w:p>
        </w:tc>
        <w:tc>
          <w:tcPr>
            <w:tcW w:w="3140" w:type="pct"/>
            <w:gridSpan w:val="3"/>
            <w:tcBorders>
              <w:tl2br w:val="nil"/>
              <w:tr2bl w:val="nil"/>
            </w:tcBorders>
            <w:vAlign w:val="center"/>
          </w:tcPr>
          <w:p w14:paraId="3BA7B220">
            <w:pPr>
              <w:adjustRightInd w:val="0"/>
              <w:snapToGrid w:val="0"/>
              <w:jc w:val="center"/>
              <w:textAlignment w:val="center"/>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80.0</w:t>
            </w:r>
          </w:p>
        </w:tc>
      </w:tr>
      <w:tr w14:paraId="2FB02E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7BECF96D">
            <w:pPr>
              <w:adjustRightInd w:val="0"/>
              <w:snapToGrid w:val="0"/>
              <w:jc w:val="left"/>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eastAsia="zh-CN"/>
              </w:rPr>
              <w:t>硬度（</w:t>
            </w:r>
            <w:r>
              <w:rPr>
                <w:rFonts w:hint="eastAsia" w:asciiTheme="minorEastAsia" w:hAnsiTheme="minorEastAsia" w:cstheme="minorEastAsia"/>
                <w:sz w:val="20"/>
                <w:szCs w:val="20"/>
                <w:lang w:val="en-US" w:eastAsia="zh-CN"/>
              </w:rPr>
              <w:t>kg/cm</w:t>
            </w:r>
            <w:r>
              <w:rPr>
                <w:rFonts w:hint="eastAsia" w:asciiTheme="minorEastAsia" w:hAnsiTheme="minorEastAsia" w:cstheme="minorEastAsia"/>
                <w:sz w:val="20"/>
                <w:szCs w:val="20"/>
                <w:vertAlign w:val="superscript"/>
                <w:lang w:val="en-US" w:eastAsia="zh-CN"/>
              </w:rPr>
              <w:t>2</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 xml:space="preserve">                   ≥</w:t>
            </w:r>
          </w:p>
        </w:tc>
        <w:tc>
          <w:tcPr>
            <w:tcW w:w="3140" w:type="pct"/>
            <w:gridSpan w:val="3"/>
            <w:tcBorders>
              <w:tl2br w:val="nil"/>
              <w:tr2bl w:val="nil"/>
            </w:tcBorders>
            <w:vAlign w:val="center"/>
          </w:tcPr>
          <w:p w14:paraId="572B357F">
            <w:pPr>
              <w:adjustRightInd w:val="0"/>
              <w:snapToGrid w:val="0"/>
              <w:jc w:val="center"/>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9.0</w:t>
            </w:r>
          </w:p>
        </w:tc>
      </w:tr>
      <w:tr w14:paraId="08F322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14E9CF19">
            <w:pPr>
              <w:adjustRightInd w:val="0"/>
              <w:snapToGrid w:val="0"/>
              <w:jc w:val="left"/>
              <w:textAlignment w:val="center"/>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lang w:eastAsia="zh-CN"/>
              </w:rPr>
              <w:t>还原糖</w:t>
            </w:r>
            <w:r>
              <w:rPr>
                <w:rFonts w:hint="eastAsia" w:asciiTheme="minorEastAsia" w:hAnsiTheme="minorEastAsia" w:cstheme="minorEastAsia"/>
                <w:sz w:val="20"/>
                <w:szCs w:val="20"/>
                <w:highlight w:val="none"/>
              </w:rPr>
              <w:t>（</w:t>
            </w:r>
            <w:r>
              <w:rPr>
                <w:rFonts w:hint="eastAsia" w:asciiTheme="minorEastAsia" w:hAnsiTheme="minorEastAsia" w:cstheme="minorEastAsia"/>
                <w:sz w:val="20"/>
                <w:szCs w:val="20"/>
                <w:highlight w:val="none"/>
                <w:lang w:val="en-US" w:eastAsia="zh-CN"/>
              </w:rPr>
              <w:t>%</w:t>
            </w:r>
            <w:r>
              <w:rPr>
                <w:rFonts w:hint="eastAsia" w:asciiTheme="minorEastAsia" w:hAnsiTheme="minorEastAsia" w:cstheme="minorEastAsia"/>
                <w:sz w:val="20"/>
                <w:szCs w:val="20"/>
                <w:highlight w:val="none"/>
              </w:rPr>
              <w:t xml:space="preserve">）              </w:t>
            </w:r>
            <w:r>
              <w:rPr>
                <w:rFonts w:hint="eastAsia" w:asciiTheme="minorEastAsia" w:hAnsiTheme="minorEastAsia" w:cstheme="minorEastAsia"/>
                <w:sz w:val="20"/>
                <w:szCs w:val="20"/>
                <w:highlight w:val="none"/>
                <w:lang w:val="en-US" w:eastAsia="zh-CN"/>
              </w:rPr>
              <w:t xml:space="preserve">       </w:t>
            </w:r>
            <w:r>
              <w:rPr>
                <w:rFonts w:hint="eastAsia" w:asciiTheme="minorEastAsia" w:hAnsiTheme="minorEastAsia" w:cstheme="minorEastAsia"/>
                <w:sz w:val="20"/>
                <w:szCs w:val="20"/>
                <w:highlight w:val="none"/>
              </w:rPr>
              <w:t>≥</w:t>
            </w:r>
          </w:p>
        </w:tc>
        <w:tc>
          <w:tcPr>
            <w:tcW w:w="3140" w:type="pct"/>
            <w:gridSpan w:val="3"/>
            <w:tcBorders>
              <w:tl2br w:val="nil"/>
              <w:tr2bl w:val="nil"/>
            </w:tcBorders>
            <w:vAlign w:val="center"/>
          </w:tcPr>
          <w:p w14:paraId="1BB1A427">
            <w:pPr>
              <w:adjustRightInd w:val="0"/>
              <w:snapToGrid w:val="0"/>
              <w:jc w:val="center"/>
              <w:textAlignment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6.5</w:t>
            </w:r>
          </w:p>
        </w:tc>
      </w:tr>
    </w:tbl>
    <w:p w14:paraId="727C29D3">
      <w:pPr>
        <w:spacing w:before="156" w:beforeLines="50" w:after="156" w:afterLines="50"/>
        <w:jc w:val="left"/>
        <w:outlineLvl w:val="0"/>
        <w:rPr>
          <w:rFonts w:hint="eastAsia" w:ascii="黑体" w:hAnsi="黑体" w:eastAsia="黑体" w:cs="黑体"/>
          <w:bCs/>
          <w:sz w:val="20"/>
          <w:szCs w:val="20"/>
        </w:rPr>
      </w:pPr>
      <w:bookmarkStart w:id="11" w:name="_Toc25943"/>
      <w:r>
        <w:rPr>
          <w:rFonts w:hint="eastAsia" w:ascii="黑体" w:hAnsi="黑体" w:eastAsia="黑体" w:cs="黑体"/>
          <w:sz w:val="20"/>
          <w:szCs w:val="20"/>
        </w:rPr>
        <w:t xml:space="preserve">5  </w:t>
      </w:r>
      <w:r>
        <w:rPr>
          <w:rFonts w:hint="eastAsia" w:ascii="黑体" w:hAnsi="黑体" w:eastAsia="黑体" w:cs="黑体"/>
          <w:bCs/>
          <w:sz w:val="20"/>
          <w:szCs w:val="20"/>
        </w:rPr>
        <w:t>试验方法</w:t>
      </w:r>
      <w:bookmarkEnd w:id="11"/>
    </w:p>
    <w:p w14:paraId="205D8462">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5.1  检验程序</w:t>
      </w:r>
    </w:p>
    <w:p w14:paraId="3EAC597A">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从供试样品中随机抽取有代表性样品，按分级要求进行检验，根据各单项等级综合评定该批</w:t>
      </w:r>
      <w:r>
        <w:rPr>
          <w:rFonts w:hint="eastAsia" w:asciiTheme="minorEastAsia" w:hAnsiTheme="minorEastAsia" w:cstheme="minorEastAsia"/>
          <w:sz w:val="20"/>
          <w:szCs w:val="20"/>
          <w:lang w:eastAsia="zh-CN"/>
        </w:rPr>
        <w:t>蜂糖李</w:t>
      </w:r>
      <w:r>
        <w:rPr>
          <w:rFonts w:hint="eastAsia" w:asciiTheme="minorEastAsia" w:hAnsiTheme="minorEastAsia" w:cstheme="minorEastAsia"/>
          <w:sz w:val="20"/>
          <w:szCs w:val="20"/>
        </w:rPr>
        <w:t>的等级；如各单项等级不一致时，以最低等级项作为该样品等级综合评定结果。</w:t>
      </w:r>
    </w:p>
    <w:p w14:paraId="74F167CC">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5.2  追溯要求检验</w:t>
      </w:r>
    </w:p>
    <w:p w14:paraId="6C27EC13">
      <w:pPr>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查看产品或包装是否具有承诺达标合格证或其它追溯码，扫码查看是否追溯至种植基地。</w:t>
      </w:r>
    </w:p>
    <w:p w14:paraId="5298958E">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5.3  安全要求检验</w:t>
      </w:r>
    </w:p>
    <w:p w14:paraId="42AE3DC8">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5.3.1</w:t>
      </w:r>
      <w:r>
        <w:rPr>
          <w:rFonts w:hint="eastAsia" w:asciiTheme="minorEastAsia" w:hAnsiTheme="minorEastAsia" w:cstheme="minorEastAsia"/>
          <w:sz w:val="20"/>
          <w:szCs w:val="20"/>
        </w:rPr>
        <w:t xml:space="preserve">  污染物限量按照GB 2762规定的检验方法检验。</w:t>
      </w:r>
    </w:p>
    <w:p w14:paraId="3184E94A">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5.3.2</w:t>
      </w:r>
      <w:r>
        <w:rPr>
          <w:rFonts w:hint="eastAsia" w:asciiTheme="minorEastAsia" w:hAnsiTheme="minorEastAsia" w:cstheme="minorEastAsia"/>
          <w:sz w:val="20"/>
          <w:szCs w:val="20"/>
        </w:rPr>
        <w:t xml:space="preserve">  农药最大残留限量按照GB 2763规定的检验方法检验。</w:t>
      </w:r>
    </w:p>
    <w:p w14:paraId="52F6883C">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5.4  外观要求检验</w:t>
      </w:r>
    </w:p>
    <w:p w14:paraId="730E4F19">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rPr>
        <w:t>5.</w:t>
      </w:r>
      <w:r>
        <w:rPr>
          <w:rFonts w:hint="eastAsia" w:asciiTheme="minorEastAsia" w:hAnsiTheme="minorEastAsia" w:cstheme="minorEastAsia"/>
          <w:sz w:val="20"/>
          <w:szCs w:val="20"/>
          <w:lang w:val="en-US" w:eastAsia="zh-CN"/>
        </w:rPr>
        <w:t>4</w:t>
      </w:r>
      <w:r>
        <w:rPr>
          <w:rFonts w:hint="eastAsia" w:asciiTheme="minorEastAsia" w:hAnsiTheme="minorEastAsia" w:cstheme="minorEastAsia"/>
          <w:sz w:val="20"/>
          <w:szCs w:val="20"/>
        </w:rPr>
        <w:t xml:space="preserve">.1 </w:t>
      </w:r>
      <w:r>
        <w:rPr>
          <w:rFonts w:hint="eastAsia" w:asciiTheme="minorEastAsia" w:hAnsiTheme="minorEastAsia" w:cstheme="minorEastAsia"/>
          <w:sz w:val="20"/>
          <w:szCs w:val="20"/>
          <w:highlight w:val="none"/>
        </w:rPr>
        <w:t xml:space="preserve"> 果实形态特征检验：</w:t>
      </w:r>
      <w:r>
        <w:rPr>
          <w:rFonts w:hint="eastAsia" w:asciiTheme="minorEastAsia" w:hAnsiTheme="minorEastAsia" w:cstheme="minorEastAsia"/>
          <w:sz w:val="20"/>
          <w:szCs w:val="20"/>
          <w:highlight w:val="none"/>
          <w:lang w:val="en-US" w:eastAsia="zh-CN"/>
        </w:rPr>
        <w:t>口尝检验果实口感，果实的色泽、外观采用目测进行检验。</w:t>
      </w:r>
    </w:p>
    <w:p w14:paraId="56D54328">
      <w:pPr>
        <w:ind w:firstLine="400" w:firstLineChars="200"/>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highlight w:val="none"/>
        </w:rPr>
        <w:t>5.</w:t>
      </w:r>
      <w:r>
        <w:rPr>
          <w:rFonts w:hint="eastAsia" w:asciiTheme="minorEastAsia" w:hAnsiTheme="minorEastAsia" w:cstheme="minorEastAsia"/>
          <w:sz w:val="20"/>
          <w:szCs w:val="20"/>
          <w:highlight w:val="none"/>
          <w:lang w:val="en-US" w:eastAsia="zh-CN"/>
        </w:rPr>
        <w:t>4</w:t>
      </w:r>
      <w:r>
        <w:rPr>
          <w:rFonts w:hint="eastAsia" w:asciiTheme="minorEastAsia" w:hAnsiTheme="minorEastAsia" w:cstheme="minorEastAsia"/>
          <w:sz w:val="20"/>
          <w:szCs w:val="20"/>
          <w:highlight w:val="none"/>
        </w:rPr>
        <w:t>.2  缺陷果检验</w:t>
      </w:r>
      <w:r>
        <w:rPr>
          <w:rFonts w:hint="eastAsia" w:asciiTheme="minorEastAsia" w:hAnsiTheme="minorEastAsia" w:cstheme="minorEastAsia"/>
          <w:sz w:val="20"/>
          <w:szCs w:val="20"/>
        </w:rPr>
        <w:t>：</w:t>
      </w:r>
      <w:r>
        <w:rPr>
          <w:rFonts w:hint="eastAsia" w:asciiTheme="minorEastAsia" w:hAnsiTheme="minorEastAsia" w:cstheme="minorEastAsia"/>
          <w:sz w:val="20"/>
          <w:szCs w:val="20"/>
          <w:lang w:eastAsia="zh-CN"/>
        </w:rPr>
        <w:t>随机抽取</w:t>
      </w:r>
      <w:r>
        <w:rPr>
          <w:rFonts w:hint="eastAsia" w:asciiTheme="minorEastAsia" w:hAnsiTheme="minorEastAsia" w:cstheme="minorEastAsia"/>
          <w:sz w:val="20"/>
          <w:szCs w:val="20"/>
        </w:rPr>
        <w:t>1000g混合样品</w:t>
      </w:r>
      <w:r>
        <w:rPr>
          <w:rFonts w:hint="eastAsia" w:asciiTheme="minorEastAsia" w:hAnsiTheme="minorEastAsia" w:cstheme="minorEastAsia"/>
          <w:sz w:val="20"/>
          <w:szCs w:val="20"/>
          <w:lang w:eastAsia="zh-CN"/>
        </w:rPr>
        <w:t>倒</w:t>
      </w:r>
      <w:r>
        <w:rPr>
          <w:rFonts w:hint="eastAsia" w:asciiTheme="minorEastAsia" w:hAnsiTheme="minorEastAsia" w:cstheme="minorEastAsia"/>
          <w:sz w:val="20"/>
          <w:szCs w:val="20"/>
        </w:rPr>
        <w:t>入白色</w:t>
      </w:r>
      <w:r>
        <w:rPr>
          <w:rFonts w:hint="eastAsia" w:asciiTheme="minorEastAsia" w:hAnsiTheme="minorEastAsia" w:cstheme="minorEastAsia"/>
          <w:sz w:val="20"/>
          <w:szCs w:val="20"/>
          <w:lang w:eastAsia="zh-CN"/>
        </w:rPr>
        <w:t>瓷盘</w:t>
      </w:r>
      <w:r>
        <w:rPr>
          <w:rFonts w:hint="eastAsia" w:asciiTheme="minorEastAsia" w:hAnsiTheme="minorEastAsia" w:cstheme="minorEastAsia"/>
          <w:sz w:val="20"/>
          <w:szCs w:val="20"/>
        </w:rPr>
        <w:t>中</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rPr>
        <w:t>挑出缺陷果</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rPr>
        <w:t>以个数</w:t>
      </w:r>
      <w:r>
        <w:rPr>
          <w:rFonts w:hint="eastAsia" w:asciiTheme="minorEastAsia" w:hAnsiTheme="minorEastAsia" w:cstheme="minorEastAsia"/>
          <w:sz w:val="20"/>
          <w:szCs w:val="20"/>
          <w:lang w:eastAsia="zh-CN"/>
        </w:rPr>
        <w:t>计算缺陷果率，结果保留至小数点后</w:t>
      </w:r>
      <w:r>
        <w:rPr>
          <w:rFonts w:hint="eastAsia" w:asciiTheme="minorEastAsia" w:hAnsiTheme="minorEastAsia" w:cstheme="minorEastAsia"/>
          <w:sz w:val="20"/>
          <w:szCs w:val="20"/>
          <w:lang w:val="en-US" w:eastAsia="zh-CN"/>
        </w:rPr>
        <w:t>1位。</w:t>
      </w:r>
    </w:p>
    <w:p w14:paraId="66AE376C">
      <w:pPr>
        <w:ind w:firstLine="400" w:firstLineChars="200"/>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5.4.3  果径检验：随机抽取20个果实样品，用游标卡尺逐个测量样品最小横切面果径，结果以平均值计。</w:t>
      </w:r>
    </w:p>
    <w:p w14:paraId="4E7E3BCF">
      <w:pPr>
        <w:spacing w:before="156" w:beforeLines="50" w:after="156" w:afterLines="50"/>
        <w:ind w:firstLine="400" w:firstLineChars="200"/>
        <w:rPr>
          <w:rFonts w:hint="eastAsia" w:ascii="黑体" w:hAnsi="黑体" w:eastAsia="黑体" w:cs="黑体"/>
          <w:sz w:val="20"/>
          <w:szCs w:val="20"/>
        </w:rPr>
      </w:pPr>
      <w:r>
        <w:rPr>
          <w:rFonts w:hint="eastAsia" w:ascii="黑体" w:hAnsi="黑体" w:eastAsia="黑体" w:cs="黑体"/>
          <w:sz w:val="20"/>
          <w:szCs w:val="20"/>
        </w:rPr>
        <w:t>5.5  品质等级要求检验</w:t>
      </w:r>
    </w:p>
    <w:p w14:paraId="5BC94BB7">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5.5.1  </w:t>
      </w:r>
      <w:r>
        <w:rPr>
          <w:rFonts w:hint="eastAsia" w:asciiTheme="minorEastAsia" w:hAnsiTheme="minorEastAsia" w:cstheme="minorEastAsia"/>
          <w:sz w:val="20"/>
          <w:szCs w:val="20"/>
          <w:lang w:eastAsia="zh-CN"/>
        </w:rPr>
        <w:t>可溶性固形物、总酸</w:t>
      </w:r>
      <w:r>
        <w:rPr>
          <w:rFonts w:hint="eastAsia" w:asciiTheme="minorEastAsia" w:hAnsiTheme="minorEastAsia" w:cstheme="minorEastAsia"/>
          <w:sz w:val="20"/>
          <w:szCs w:val="20"/>
        </w:rPr>
        <w:t>检验：按</w:t>
      </w:r>
      <w:r>
        <w:rPr>
          <w:rFonts w:hint="eastAsia" w:asciiTheme="minorEastAsia" w:hAnsiTheme="minorEastAsia" w:cstheme="minorEastAsia"/>
          <w:sz w:val="20"/>
          <w:szCs w:val="20"/>
          <w:lang w:val="en-US" w:eastAsia="zh-CN"/>
        </w:rPr>
        <w:t>NY</w:t>
      </w:r>
      <w:r>
        <w:rPr>
          <w:rFonts w:asciiTheme="minorEastAsia" w:hAnsiTheme="minorEastAsia" w:cstheme="minorEastAsia"/>
          <w:sz w:val="20"/>
          <w:szCs w:val="20"/>
        </w:rPr>
        <w:t xml:space="preserve">/T </w:t>
      </w:r>
      <w:r>
        <w:rPr>
          <w:rFonts w:hint="eastAsia" w:asciiTheme="minorEastAsia" w:hAnsiTheme="minorEastAsia" w:cstheme="minorEastAsia"/>
          <w:sz w:val="20"/>
          <w:szCs w:val="20"/>
          <w:lang w:val="en-US" w:eastAsia="zh-CN"/>
        </w:rPr>
        <w:t>839的规定</w:t>
      </w:r>
      <w:r>
        <w:rPr>
          <w:rFonts w:hint="eastAsia" w:asciiTheme="minorEastAsia" w:hAnsiTheme="minorEastAsia" w:cstheme="minorEastAsia"/>
          <w:sz w:val="20"/>
          <w:szCs w:val="20"/>
        </w:rPr>
        <w:t>执行。</w:t>
      </w:r>
    </w:p>
    <w:p w14:paraId="07685CCE">
      <w:pPr>
        <w:ind w:firstLine="400" w:firstLineChars="200"/>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5.5.2  水分检验：按GB 5009.3的规定执行。</w:t>
      </w:r>
    </w:p>
    <w:p w14:paraId="5898863A">
      <w:pPr>
        <w:ind w:firstLine="400" w:firstLineChars="200"/>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5.5.3  硬度检验：按NY/T 2009的规定执行。</w:t>
      </w:r>
    </w:p>
    <w:p w14:paraId="546A8B50">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5.5.</w:t>
      </w:r>
      <w:r>
        <w:rPr>
          <w:rFonts w:hint="eastAsia" w:asciiTheme="minorEastAsia" w:hAnsiTheme="minorEastAsia" w:cstheme="minorEastAsia"/>
          <w:sz w:val="20"/>
          <w:szCs w:val="20"/>
          <w:lang w:val="en-US" w:eastAsia="zh-CN"/>
        </w:rPr>
        <w:t>4</w:t>
      </w:r>
      <w:r>
        <w:rPr>
          <w:rFonts w:hint="eastAsia" w:asciiTheme="minorEastAsia" w:hAnsiTheme="minorEastAsia" w:cstheme="minorEastAsia"/>
          <w:sz w:val="20"/>
          <w:szCs w:val="20"/>
        </w:rPr>
        <w:t xml:space="preserve">  </w:t>
      </w:r>
      <w:r>
        <w:rPr>
          <w:rFonts w:hint="eastAsia" w:asciiTheme="minorEastAsia" w:hAnsiTheme="minorEastAsia" w:cstheme="minorEastAsia"/>
          <w:sz w:val="20"/>
          <w:szCs w:val="20"/>
          <w:lang w:eastAsia="zh-CN"/>
        </w:rPr>
        <w:t>还原糖</w:t>
      </w:r>
      <w:r>
        <w:rPr>
          <w:rFonts w:hint="eastAsia" w:asciiTheme="minorEastAsia" w:hAnsiTheme="minorEastAsia" w:cstheme="minorEastAsia"/>
          <w:sz w:val="20"/>
          <w:szCs w:val="20"/>
        </w:rPr>
        <w:t>检验：按</w:t>
      </w:r>
      <w:r>
        <w:rPr>
          <w:rFonts w:hint="eastAsia" w:asciiTheme="minorEastAsia" w:hAnsiTheme="minorEastAsia" w:cstheme="minorEastAsia"/>
          <w:sz w:val="20"/>
          <w:szCs w:val="20"/>
          <w:lang w:val="en-US" w:eastAsia="zh-CN"/>
        </w:rPr>
        <w:t>GB 5009.7的规定</w:t>
      </w:r>
      <w:r>
        <w:rPr>
          <w:rFonts w:hint="eastAsia" w:asciiTheme="minorEastAsia" w:hAnsiTheme="minorEastAsia" w:cstheme="minorEastAsia"/>
          <w:sz w:val="20"/>
          <w:szCs w:val="20"/>
        </w:rPr>
        <w:t>执行。</w:t>
      </w:r>
    </w:p>
    <w:p w14:paraId="4D928282">
      <w:pPr>
        <w:spacing w:before="156" w:beforeLines="50" w:after="156" w:afterLines="50"/>
        <w:jc w:val="left"/>
        <w:rPr>
          <w:rFonts w:hint="eastAsia" w:ascii="黑体" w:hAnsi="黑体" w:eastAsia="黑体" w:cs="黑体"/>
          <w:sz w:val="20"/>
          <w:szCs w:val="20"/>
        </w:rPr>
      </w:pPr>
      <w:bookmarkStart w:id="12" w:name="_Toc16491"/>
      <w:r>
        <w:rPr>
          <w:rFonts w:hint="eastAsia" w:ascii="黑体" w:hAnsi="黑体" w:eastAsia="黑体" w:cs="黑体"/>
          <w:sz w:val="20"/>
          <w:szCs w:val="20"/>
        </w:rPr>
        <w:t>6  检验规则</w:t>
      </w:r>
      <w:bookmarkEnd w:id="12"/>
    </w:p>
    <w:p w14:paraId="08A5998F">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6.1  组批规则</w:t>
      </w:r>
    </w:p>
    <w:p w14:paraId="5400BEBE">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同一等级、同一基地、同批采收的</w:t>
      </w:r>
      <w:r>
        <w:rPr>
          <w:rFonts w:hint="eastAsia" w:asciiTheme="minorEastAsia" w:hAnsiTheme="minorEastAsia" w:cstheme="minorEastAsia"/>
          <w:sz w:val="20"/>
          <w:szCs w:val="20"/>
          <w:lang w:eastAsia="zh-CN"/>
        </w:rPr>
        <w:t>蜂糖李</w:t>
      </w:r>
      <w:r>
        <w:rPr>
          <w:rFonts w:hint="eastAsia" w:asciiTheme="minorEastAsia" w:hAnsiTheme="minorEastAsia" w:cstheme="minorEastAsia"/>
          <w:sz w:val="20"/>
          <w:szCs w:val="20"/>
        </w:rPr>
        <w:t>作为一个检验批次。</w:t>
      </w:r>
    </w:p>
    <w:p w14:paraId="3BA256EA">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6.2  抽样方法</w:t>
      </w:r>
    </w:p>
    <w:p w14:paraId="5DED2B51">
      <w:pPr>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sz w:val="20"/>
          <w:szCs w:val="20"/>
        </w:rPr>
        <w:t>按照</w:t>
      </w:r>
      <w:r>
        <w:rPr>
          <w:rFonts w:hint="eastAsia" w:asciiTheme="minorEastAsia" w:hAnsiTheme="minorEastAsia" w:cstheme="minorEastAsia"/>
          <w:sz w:val="20"/>
          <w:szCs w:val="20"/>
          <w:lang w:val="en-US" w:eastAsia="zh-CN"/>
        </w:rPr>
        <w:t>NY</w:t>
      </w:r>
      <w:r>
        <w:rPr>
          <w:rFonts w:hint="eastAsia" w:asciiTheme="minorEastAsia" w:hAnsiTheme="minorEastAsia" w:cstheme="minorEastAsia"/>
          <w:sz w:val="20"/>
          <w:szCs w:val="20"/>
        </w:rPr>
        <w:t xml:space="preserve">/T </w:t>
      </w:r>
      <w:r>
        <w:rPr>
          <w:rFonts w:hint="eastAsia" w:asciiTheme="minorEastAsia" w:hAnsiTheme="minorEastAsia" w:cstheme="minorEastAsia"/>
          <w:sz w:val="20"/>
          <w:szCs w:val="20"/>
          <w:lang w:val="en-US" w:eastAsia="zh-CN"/>
        </w:rPr>
        <w:t>5344.4</w:t>
      </w:r>
      <w:r>
        <w:rPr>
          <w:rFonts w:hint="eastAsia" w:asciiTheme="minorEastAsia" w:hAnsiTheme="minorEastAsia" w:cstheme="minorEastAsia"/>
          <w:sz w:val="20"/>
          <w:szCs w:val="20"/>
        </w:rPr>
        <w:t>规定执行。</w:t>
      </w:r>
    </w:p>
    <w:p w14:paraId="6EA3BA3C">
      <w:pPr>
        <w:jc w:val="left"/>
        <w:rPr>
          <w:rFonts w:hint="eastAsia" w:asciiTheme="minorEastAsia" w:hAnsiTheme="minorEastAsia" w:cstheme="minorEastAsia"/>
          <w:bCs/>
          <w:sz w:val="20"/>
          <w:szCs w:val="20"/>
        </w:rPr>
      </w:pPr>
    </w:p>
    <w:p w14:paraId="1A2C7AA6">
      <w:pPr>
        <w:adjustRightInd w:val="0"/>
        <w:snapToGrid w:val="0"/>
        <w:jc w:val="left"/>
        <w:outlineLvl w:val="0"/>
        <w:rPr>
          <w:rFonts w:hint="eastAsia" w:ascii="黑体" w:hAnsi="黑体" w:eastAsia="黑体" w:cs="黑体"/>
          <w:sz w:val="20"/>
          <w:szCs w:val="20"/>
        </w:rPr>
      </w:pPr>
      <w:bookmarkStart w:id="13" w:name="_Toc28825"/>
      <w:r>
        <w:rPr>
          <w:rFonts w:hint="eastAsia" w:ascii="黑体" w:hAnsi="黑体" w:eastAsia="黑体" w:cs="黑体"/>
          <w:sz w:val="20"/>
          <w:szCs w:val="20"/>
        </w:rPr>
        <w:t>7  包装、运输、贮存</w:t>
      </w:r>
      <w:bookmarkEnd w:id="13"/>
    </w:p>
    <w:p w14:paraId="3769E6AE">
      <w:pPr>
        <w:adjustRightInd w:val="0"/>
        <w:snapToGrid w:val="0"/>
        <w:jc w:val="left"/>
        <w:outlineLvl w:val="0"/>
        <w:rPr>
          <w:rFonts w:hint="eastAsia" w:ascii="黑体" w:hAnsi="黑体" w:eastAsia="黑体" w:cs="黑体"/>
          <w:sz w:val="20"/>
          <w:szCs w:val="20"/>
        </w:rPr>
      </w:pPr>
    </w:p>
    <w:p w14:paraId="74C379C6">
      <w:pPr>
        <w:adjustRightInd w:val="0"/>
        <w:snapToGrid w:val="0"/>
        <w:spacing w:after="156" w:afterLines="50"/>
        <w:ind w:firstLine="403"/>
        <w:jc w:val="left"/>
        <w:outlineLvl w:val="0"/>
        <w:rPr>
          <w:rFonts w:hint="eastAsia" w:ascii="黑体" w:hAnsi="黑体" w:eastAsia="黑体" w:cs="黑体"/>
          <w:sz w:val="20"/>
          <w:szCs w:val="20"/>
        </w:rPr>
      </w:pPr>
      <w:bookmarkStart w:id="14" w:name="_Toc30078"/>
      <w:bookmarkStart w:id="15" w:name="_Toc8353"/>
      <w:r>
        <w:rPr>
          <w:rFonts w:hint="eastAsia" w:ascii="黑体" w:hAnsi="黑体" w:eastAsia="黑体" w:cs="黑体"/>
          <w:sz w:val="20"/>
          <w:szCs w:val="20"/>
        </w:rPr>
        <w:t>7.1  包装</w:t>
      </w:r>
      <w:bookmarkEnd w:id="14"/>
      <w:bookmarkEnd w:id="15"/>
    </w:p>
    <w:p w14:paraId="7876D7C9">
      <w:pPr>
        <w:adjustRightInd w:val="0"/>
        <w:snapToGrid w:val="0"/>
        <w:spacing w:before="156" w:beforeLines="50" w:after="156" w:afterLines="50"/>
        <w:ind w:firstLine="400"/>
        <w:jc w:val="left"/>
        <w:outlineLvl w:val="0"/>
        <w:rPr>
          <w:rFonts w:hint="eastAsia" w:asciiTheme="minorEastAsia" w:hAnsiTheme="minorEastAsia" w:eastAsiaTheme="minorEastAsia" w:cstheme="minorEastAsia"/>
          <w:sz w:val="20"/>
          <w:szCs w:val="20"/>
          <w:lang w:val="en-US" w:eastAsia="zh-CN"/>
        </w:rPr>
      </w:pPr>
      <w:bookmarkStart w:id="16" w:name="_Toc22895"/>
      <w:bookmarkStart w:id="17" w:name="_Toc9813"/>
      <w:r>
        <w:rPr>
          <w:rFonts w:hint="eastAsia" w:asciiTheme="minorEastAsia" w:hAnsiTheme="minorEastAsia" w:cstheme="minorEastAsia"/>
          <w:sz w:val="20"/>
          <w:szCs w:val="20"/>
        </w:rPr>
        <w:t>包装材料应符合国家食品包装卫生要求，包装箱袋结实、干净、完整、整洁卫生、无毒、无污染、</w:t>
      </w:r>
      <w:r>
        <w:rPr>
          <w:rFonts w:hint="eastAsia" w:asciiTheme="minorEastAsia" w:hAnsiTheme="minorEastAsia" w:cstheme="minorEastAsia"/>
          <w:sz w:val="20"/>
          <w:szCs w:val="20"/>
          <w:lang w:eastAsia="zh-CN"/>
        </w:rPr>
        <w:t>无异味。</w:t>
      </w:r>
    </w:p>
    <w:p w14:paraId="122EBB05">
      <w:pPr>
        <w:adjustRightInd w:val="0"/>
        <w:snapToGrid w:val="0"/>
        <w:spacing w:before="156" w:beforeLines="50" w:after="156" w:afterLines="50"/>
        <w:ind w:firstLine="400"/>
        <w:jc w:val="left"/>
        <w:outlineLvl w:val="0"/>
        <w:rPr>
          <w:rFonts w:hint="eastAsia" w:ascii="黑体" w:hAnsi="黑体" w:eastAsia="黑体" w:cs="黑体"/>
          <w:sz w:val="20"/>
          <w:szCs w:val="20"/>
        </w:rPr>
      </w:pPr>
      <w:r>
        <w:rPr>
          <w:rFonts w:hint="eastAsia" w:ascii="黑体" w:hAnsi="黑体" w:eastAsia="黑体" w:cs="黑体"/>
          <w:sz w:val="20"/>
          <w:szCs w:val="20"/>
        </w:rPr>
        <w:t>7.2  运输</w:t>
      </w:r>
      <w:bookmarkEnd w:id="16"/>
      <w:bookmarkEnd w:id="17"/>
    </w:p>
    <w:p w14:paraId="381CADCA">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7.2.1</w:t>
      </w:r>
      <w:r>
        <w:rPr>
          <w:rFonts w:hint="eastAsia" w:asciiTheme="minorEastAsia" w:hAnsiTheme="minorEastAsia" w:cstheme="minorEastAsia"/>
          <w:sz w:val="20"/>
          <w:szCs w:val="20"/>
        </w:rPr>
        <w:t xml:space="preserve">  采摘后立即按本标准规定的品质、规格进行挑选分级，尽快包装验收，</w:t>
      </w:r>
      <w:r>
        <w:rPr>
          <w:rFonts w:hint="eastAsia" w:asciiTheme="minorEastAsia" w:hAnsiTheme="minorEastAsia" w:cstheme="minorEastAsia"/>
          <w:sz w:val="20"/>
          <w:szCs w:val="20"/>
          <w:lang w:eastAsia="zh-CN"/>
        </w:rPr>
        <w:t>并</w:t>
      </w:r>
      <w:r>
        <w:rPr>
          <w:rFonts w:hint="eastAsia" w:asciiTheme="minorEastAsia" w:hAnsiTheme="minorEastAsia" w:cstheme="minorEastAsia"/>
          <w:sz w:val="20"/>
          <w:szCs w:val="20"/>
        </w:rPr>
        <w:t>迅速组织调运或贮存，按等级分别存放。</w:t>
      </w:r>
    </w:p>
    <w:p w14:paraId="38261BEE">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7.2.2</w:t>
      </w:r>
      <w:r>
        <w:rPr>
          <w:rFonts w:hint="eastAsia" w:asciiTheme="minorEastAsia" w:hAnsiTheme="minorEastAsia" w:cstheme="minorEastAsia"/>
          <w:sz w:val="20"/>
          <w:szCs w:val="20"/>
        </w:rPr>
        <w:t xml:space="preserve">  在装卸运输中应轻装轻卸。运输工具必须清洁卫生，不得与其它果蔬或物品混装混运。</w:t>
      </w:r>
    </w:p>
    <w:p w14:paraId="0AE5B143">
      <w:pPr>
        <w:adjustRightInd w:val="0"/>
        <w:snapToGrid w:val="0"/>
        <w:spacing w:before="156" w:beforeLines="50" w:after="156" w:afterLines="50"/>
        <w:ind w:firstLine="403"/>
        <w:jc w:val="left"/>
        <w:outlineLvl w:val="0"/>
        <w:rPr>
          <w:rFonts w:hint="eastAsia" w:ascii="黑体" w:hAnsi="黑体" w:eastAsia="黑体" w:cs="黑体"/>
          <w:sz w:val="20"/>
          <w:szCs w:val="20"/>
        </w:rPr>
      </w:pPr>
      <w:bookmarkStart w:id="18" w:name="_Toc31981"/>
      <w:bookmarkStart w:id="19" w:name="_Toc18736"/>
      <w:r>
        <w:rPr>
          <w:rFonts w:hint="eastAsia" w:ascii="黑体" w:hAnsi="黑体" w:eastAsia="黑体" w:cs="黑体"/>
          <w:sz w:val="20"/>
          <w:szCs w:val="20"/>
        </w:rPr>
        <w:t>7</w:t>
      </w:r>
      <w:r>
        <w:rPr>
          <w:rFonts w:ascii="黑体" w:hAnsi="黑体" w:eastAsia="黑体" w:cs="黑体"/>
          <w:sz w:val="20"/>
          <w:szCs w:val="20"/>
        </w:rPr>
        <w:t>.3</w:t>
      </w:r>
      <w:r>
        <w:rPr>
          <w:rFonts w:hint="eastAsia" w:ascii="黑体" w:hAnsi="黑体" w:eastAsia="黑体" w:cs="黑体"/>
          <w:sz w:val="20"/>
          <w:szCs w:val="20"/>
        </w:rPr>
        <w:t xml:space="preserve">  </w:t>
      </w:r>
      <w:r>
        <w:rPr>
          <w:rFonts w:ascii="黑体" w:hAnsi="黑体" w:eastAsia="黑体" w:cs="黑体"/>
          <w:sz w:val="20"/>
          <w:szCs w:val="20"/>
        </w:rPr>
        <w:t>贮存</w:t>
      </w:r>
      <w:bookmarkEnd w:id="18"/>
      <w:bookmarkEnd w:id="19"/>
    </w:p>
    <w:p w14:paraId="06D62C85">
      <w:pPr>
        <w:adjustRightInd w:val="0"/>
        <w:snapToGrid w:val="0"/>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贮藏时应采用冷藏或气调贮藏。</w:t>
      </w:r>
    </w:p>
    <w:p w14:paraId="274A16DD">
      <w:pPr>
        <w:adjustRightInd w:val="0"/>
        <w:snapToGrid w:val="0"/>
        <w:jc w:val="left"/>
        <w:rPr>
          <w:rFonts w:hint="eastAsia" w:asciiTheme="minorEastAsia" w:hAnsiTheme="minorEastAsia" w:cstheme="minorEastAsia"/>
          <w:sz w:val="20"/>
          <w:szCs w:val="20"/>
        </w:rPr>
      </w:pPr>
    </w:p>
    <w:p w14:paraId="605BE94F">
      <w:pPr>
        <w:adjustRightInd w:val="0"/>
        <w:snapToGrid w:val="0"/>
        <w:jc w:val="left"/>
        <w:outlineLvl w:val="0"/>
        <w:rPr>
          <w:rFonts w:hint="eastAsia" w:ascii="黑体" w:hAnsi="黑体" w:eastAsia="黑体" w:cs="黑体"/>
          <w:sz w:val="20"/>
          <w:szCs w:val="20"/>
        </w:rPr>
      </w:pPr>
      <w:bookmarkStart w:id="20" w:name="_Toc28402"/>
      <w:r>
        <w:rPr>
          <w:rFonts w:hint="eastAsia" w:ascii="黑体" w:hAnsi="黑体" w:eastAsia="黑体" w:cs="黑体"/>
          <w:sz w:val="20"/>
          <w:szCs w:val="20"/>
        </w:rPr>
        <w:t>8  标识规定</w:t>
      </w:r>
      <w:bookmarkEnd w:id="20"/>
    </w:p>
    <w:p w14:paraId="41127169">
      <w:pPr>
        <w:adjustRightInd w:val="0"/>
        <w:snapToGrid w:val="0"/>
        <w:jc w:val="left"/>
        <w:outlineLvl w:val="0"/>
        <w:rPr>
          <w:rFonts w:hint="eastAsia" w:ascii="黑体" w:hAnsi="黑体" w:eastAsia="黑体" w:cs="黑体"/>
          <w:sz w:val="20"/>
          <w:szCs w:val="20"/>
        </w:rPr>
      </w:pPr>
    </w:p>
    <w:p w14:paraId="7B95B0B1">
      <w:pPr>
        <w:adjustRightInd w:val="0"/>
        <w:snapToGrid w:val="0"/>
        <w:spacing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8.1  标志</w:t>
      </w:r>
    </w:p>
    <w:p w14:paraId="38A8778E">
      <w:pPr>
        <w:ind w:firstLine="400" w:firstLineChars="200"/>
        <w:jc w:val="left"/>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同一批货物的包装标志，在形式上和内容上应统一。</w:t>
      </w:r>
    </w:p>
    <w:p w14:paraId="31FF42CD">
      <w:pPr>
        <w:adjustRightInd w:val="0"/>
        <w:snapToGrid w:val="0"/>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8.2  标签</w:t>
      </w:r>
    </w:p>
    <w:p w14:paraId="28B27F80">
      <w:pPr>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包装箱（盒）上</w:t>
      </w:r>
      <w:r>
        <w:rPr>
          <w:rFonts w:hint="eastAsia" w:asciiTheme="minorEastAsia" w:hAnsiTheme="minorEastAsia" w:cstheme="minorEastAsia"/>
          <w:sz w:val="20"/>
          <w:szCs w:val="20"/>
        </w:rPr>
        <w:t>应标明产品名称、品种、商标、等级规格、净重、生产单位名称、产地和包装日期等。标签上的字迹应清晰完整、准确。</w:t>
      </w:r>
    </w:p>
    <w:p w14:paraId="62D220D9">
      <w:pPr>
        <w:adjustRightInd w:val="0"/>
        <w:snapToGrid w:val="0"/>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8.3  品质雷达图</w:t>
      </w:r>
    </w:p>
    <w:p w14:paraId="32430C62">
      <w:pPr>
        <w:adjustRightInd w:val="0"/>
        <w:snapToGrid w:val="0"/>
        <w:ind w:firstLine="400" w:firstLineChars="200"/>
        <w:jc w:val="left"/>
        <w:rPr>
          <w:rFonts w:hint="eastAsia" w:ascii="黑体" w:hAnsi="黑体" w:eastAsia="黑体" w:cs="黑体"/>
          <w:sz w:val="20"/>
          <w:szCs w:val="20"/>
        </w:rPr>
      </w:pPr>
      <w:r>
        <w:rPr>
          <w:rFonts w:hint="eastAsia" w:asciiTheme="minorEastAsia" w:hAnsiTheme="minorEastAsia" w:cstheme="minorEastAsia"/>
          <w:sz w:val="20"/>
          <w:szCs w:val="20"/>
        </w:rPr>
        <w:t>A级、A+级果品应根据品质等级要求检验结果制作品质雷达图，以供消费者购买参考，雷达图示例见附录A。</w:t>
      </w:r>
      <w:bookmarkStart w:id="21" w:name="_Toc25618"/>
    </w:p>
    <w:p w14:paraId="513EE67D">
      <w:pPr>
        <w:jc w:val="left"/>
        <w:outlineLvl w:val="0"/>
        <w:rPr>
          <w:rFonts w:hint="eastAsia" w:ascii="黑体" w:hAnsi="黑体" w:eastAsia="黑体" w:cs="黑体"/>
          <w:sz w:val="20"/>
          <w:szCs w:val="20"/>
        </w:rPr>
      </w:pPr>
    </w:p>
    <w:p w14:paraId="751D2FE9">
      <w:pPr>
        <w:jc w:val="left"/>
        <w:outlineLvl w:val="0"/>
        <w:rPr>
          <w:rFonts w:hint="eastAsia" w:ascii="黑体" w:hAnsi="黑体" w:eastAsia="黑体" w:cs="黑体"/>
          <w:sz w:val="20"/>
          <w:szCs w:val="20"/>
        </w:rPr>
      </w:pPr>
    </w:p>
    <w:p w14:paraId="7BC3EA10">
      <w:pPr>
        <w:jc w:val="left"/>
        <w:outlineLvl w:val="0"/>
        <w:rPr>
          <w:rFonts w:hint="eastAsia" w:ascii="黑体" w:hAnsi="黑体" w:eastAsia="黑体" w:cs="黑体"/>
          <w:sz w:val="20"/>
          <w:szCs w:val="20"/>
        </w:rPr>
      </w:pPr>
    </w:p>
    <w:p w14:paraId="66A874C2">
      <w:pPr>
        <w:jc w:val="left"/>
        <w:outlineLvl w:val="0"/>
        <w:rPr>
          <w:rFonts w:hint="eastAsia" w:ascii="黑体" w:hAnsi="黑体" w:eastAsia="黑体" w:cs="黑体"/>
          <w:sz w:val="20"/>
          <w:szCs w:val="20"/>
        </w:rPr>
      </w:pPr>
    </w:p>
    <w:p w14:paraId="25F761B9">
      <w:pPr>
        <w:jc w:val="left"/>
        <w:outlineLvl w:val="0"/>
        <w:rPr>
          <w:rFonts w:hint="eastAsia" w:ascii="黑体" w:hAnsi="黑体" w:eastAsia="黑体" w:cs="黑体"/>
          <w:sz w:val="20"/>
          <w:szCs w:val="20"/>
        </w:rPr>
      </w:pPr>
    </w:p>
    <w:p w14:paraId="02CF4ABD">
      <w:pPr>
        <w:jc w:val="left"/>
        <w:outlineLvl w:val="0"/>
        <w:rPr>
          <w:rFonts w:hint="eastAsia" w:ascii="黑体" w:hAnsi="黑体" w:eastAsia="黑体" w:cs="黑体"/>
          <w:sz w:val="20"/>
          <w:szCs w:val="20"/>
        </w:rPr>
      </w:pPr>
    </w:p>
    <w:p w14:paraId="47DE4DF9">
      <w:pPr>
        <w:jc w:val="left"/>
        <w:outlineLvl w:val="0"/>
        <w:rPr>
          <w:rFonts w:hint="eastAsia" w:ascii="黑体" w:hAnsi="黑体" w:eastAsia="黑体" w:cs="黑体"/>
          <w:sz w:val="20"/>
          <w:szCs w:val="20"/>
        </w:rPr>
      </w:pPr>
    </w:p>
    <w:p w14:paraId="045B64F1">
      <w:pPr>
        <w:jc w:val="left"/>
        <w:outlineLvl w:val="0"/>
        <w:rPr>
          <w:rFonts w:hint="eastAsia" w:ascii="黑体" w:hAnsi="黑体" w:eastAsia="黑体" w:cs="黑体"/>
          <w:sz w:val="20"/>
          <w:szCs w:val="20"/>
        </w:rPr>
      </w:pPr>
    </w:p>
    <w:p w14:paraId="3245686A">
      <w:pPr>
        <w:jc w:val="left"/>
        <w:outlineLvl w:val="0"/>
        <w:rPr>
          <w:rFonts w:hint="eastAsia" w:ascii="黑体" w:hAnsi="黑体" w:eastAsia="黑体" w:cs="黑体"/>
          <w:sz w:val="20"/>
          <w:szCs w:val="20"/>
        </w:rPr>
      </w:pPr>
    </w:p>
    <w:p w14:paraId="1A130720">
      <w:pPr>
        <w:jc w:val="left"/>
        <w:outlineLvl w:val="0"/>
        <w:rPr>
          <w:rFonts w:hint="eastAsia" w:ascii="黑体" w:hAnsi="黑体" w:eastAsia="黑体" w:cs="黑体"/>
          <w:sz w:val="20"/>
          <w:szCs w:val="20"/>
        </w:rPr>
      </w:pPr>
    </w:p>
    <w:p w14:paraId="08AFC24E">
      <w:pPr>
        <w:jc w:val="left"/>
        <w:outlineLvl w:val="0"/>
        <w:rPr>
          <w:rFonts w:hint="eastAsia" w:ascii="黑体" w:hAnsi="黑体" w:eastAsia="黑体" w:cs="黑体"/>
          <w:sz w:val="20"/>
          <w:szCs w:val="20"/>
        </w:rPr>
      </w:pPr>
    </w:p>
    <w:p w14:paraId="2E1E476E">
      <w:pPr>
        <w:jc w:val="left"/>
        <w:outlineLvl w:val="0"/>
        <w:rPr>
          <w:rFonts w:hint="eastAsia" w:ascii="黑体" w:hAnsi="黑体" w:eastAsia="黑体" w:cs="黑体"/>
          <w:sz w:val="20"/>
          <w:szCs w:val="20"/>
        </w:rPr>
      </w:pPr>
    </w:p>
    <w:p w14:paraId="2C414B42">
      <w:pPr>
        <w:jc w:val="left"/>
        <w:outlineLvl w:val="0"/>
        <w:rPr>
          <w:rFonts w:hint="eastAsia" w:ascii="黑体" w:hAnsi="黑体" w:eastAsia="黑体" w:cs="黑体"/>
          <w:sz w:val="20"/>
          <w:szCs w:val="20"/>
        </w:rPr>
      </w:pPr>
    </w:p>
    <w:p w14:paraId="3866F4C1">
      <w:pPr>
        <w:jc w:val="left"/>
        <w:outlineLvl w:val="0"/>
        <w:rPr>
          <w:rFonts w:hint="eastAsia" w:ascii="黑体" w:hAnsi="黑体" w:eastAsia="黑体" w:cs="黑体"/>
          <w:sz w:val="20"/>
          <w:szCs w:val="20"/>
        </w:rPr>
      </w:pPr>
    </w:p>
    <w:p w14:paraId="547513E2">
      <w:pPr>
        <w:jc w:val="left"/>
        <w:outlineLvl w:val="0"/>
        <w:rPr>
          <w:rFonts w:hint="eastAsia" w:ascii="黑体" w:hAnsi="黑体" w:eastAsia="黑体" w:cs="黑体"/>
          <w:sz w:val="20"/>
          <w:szCs w:val="20"/>
        </w:rPr>
      </w:pPr>
    </w:p>
    <w:p w14:paraId="5C26511B">
      <w:pPr>
        <w:jc w:val="left"/>
        <w:outlineLvl w:val="0"/>
        <w:rPr>
          <w:rFonts w:hint="eastAsia" w:ascii="黑体" w:hAnsi="黑体" w:eastAsia="黑体" w:cs="黑体"/>
          <w:sz w:val="20"/>
          <w:szCs w:val="20"/>
        </w:rPr>
      </w:pPr>
    </w:p>
    <w:p w14:paraId="20D860EC">
      <w:pPr>
        <w:jc w:val="left"/>
        <w:outlineLvl w:val="0"/>
        <w:rPr>
          <w:rFonts w:hint="eastAsia" w:ascii="黑体" w:hAnsi="黑体" w:eastAsia="黑体" w:cs="黑体"/>
          <w:sz w:val="20"/>
          <w:szCs w:val="20"/>
        </w:rPr>
      </w:pPr>
    </w:p>
    <w:p w14:paraId="42E10763">
      <w:pPr>
        <w:jc w:val="left"/>
        <w:outlineLvl w:val="0"/>
        <w:rPr>
          <w:rFonts w:hint="eastAsia" w:ascii="黑体" w:hAnsi="黑体" w:eastAsia="黑体" w:cs="黑体"/>
          <w:sz w:val="20"/>
          <w:szCs w:val="20"/>
        </w:rPr>
      </w:pPr>
    </w:p>
    <w:p w14:paraId="20281302">
      <w:pPr>
        <w:jc w:val="left"/>
        <w:outlineLvl w:val="0"/>
        <w:rPr>
          <w:rFonts w:hint="eastAsia" w:ascii="黑体" w:hAnsi="黑体" w:eastAsia="黑体" w:cs="黑体"/>
          <w:sz w:val="20"/>
          <w:szCs w:val="20"/>
        </w:rPr>
      </w:pPr>
    </w:p>
    <w:bookmarkEnd w:id="21"/>
    <w:p w14:paraId="632F7B2B">
      <w:pPr>
        <w:outlineLvl w:val="0"/>
        <w:rPr>
          <w:rFonts w:hint="eastAsia" w:ascii="黑体" w:hAnsi="黑体" w:eastAsia="黑体" w:cs="黑体"/>
          <w:sz w:val="20"/>
          <w:szCs w:val="20"/>
        </w:rPr>
      </w:pPr>
      <w:bookmarkStart w:id="22" w:name="_Toc16664"/>
    </w:p>
    <w:p w14:paraId="2F9513F0">
      <w:pPr>
        <w:jc w:val="center"/>
        <w:outlineLvl w:val="0"/>
        <w:rPr>
          <w:rFonts w:hint="eastAsia" w:ascii="黑体" w:hAnsi="黑体" w:eastAsia="黑体" w:cs="黑体"/>
          <w:sz w:val="24"/>
        </w:rPr>
      </w:pPr>
      <w:r>
        <w:rPr>
          <w:rFonts w:hint="eastAsia" w:ascii="黑体" w:hAnsi="黑体" w:eastAsia="黑体" w:cs="黑体"/>
          <w:sz w:val="20"/>
          <w:szCs w:val="20"/>
        </w:rPr>
        <w:t>附  录  A</w:t>
      </w:r>
      <w:bookmarkEnd w:id="22"/>
    </w:p>
    <w:p w14:paraId="052AA692">
      <w:pPr>
        <w:jc w:val="center"/>
        <w:rPr>
          <w:rFonts w:hint="eastAsia" w:ascii="黑体" w:hAnsi="黑体" w:eastAsia="黑体" w:cs="黑体"/>
          <w:sz w:val="20"/>
          <w:szCs w:val="20"/>
        </w:rPr>
      </w:pPr>
      <w:r>
        <w:rPr>
          <w:rFonts w:hint="eastAsia" w:ascii="黑体" w:hAnsi="黑体" w:eastAsia="黑体" w:cs="黑体"/>
          <w:sz w:val="20"/>
          <w:szCs w:val="20"/>
        </w:rPr>
        <w:t>（资料性）</w:t>
      </w:r>
    </w:p>
    <w:p w14:paraId="5044F459">
      <w:pPr>
        <w:spacing w:after="156" w:afterLines="50"/>
        <w:jc w:val="center"/>
        <w:rPr>
          <w:rFonts w:hint="eastAsia" w:ascii="黑体" w:hAnsi="黑体" w:eastAsia="黑体" w:cs="黑体"/>
          <w:sz w:val="20"/>
          <w:szCs w:val="20"/>
        </w:rPr>
      </w:pPr>
      <w:r>
        <w:rPr>
          <w:rFonts w:hint="eastAsia" w:ascii="黑体" w:hAnsi="黑体" w:eastAsia="黑体" w:cs="黑体"/>
          <w:sz w:val="20"/>
          <w:szCs w:val="20"/>
        </w:rPr>
        <w:t>品质雷达图</w:t>
      </w:r>
    </w:p>
    <w:p w14:paraId="005ED4DA">
      <w:pPr>
        <w:ind w:firstLine="4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为更好展示优质</w:t>
      </w:r>
      <w:r>
        <w:rPr>
          <w:rFonts w:hint="eastAsia" w:asciiTheme="minorEastAsia" w:hAnsiTheme="minorEastAsia" w:cstheme="minorEastAsia"/>
          <w:sz w:val="20"/>
          <w:szCs w:val="20"/>
          <w:lang w:eastAsia="zh-CN"/>
        </w:rPr>
        <w:t>蜂糖李</w:t>
      </w:r>
      <w:r>
        <w:rPr>
          <w:rFonts w:hint="eastAsia" w:asciiTheme="minorEastAsia" w:hAnsiTheme="minorEastAsia" w:cstheme="minorEastAsia"/>
          <w:sz w:val="20"/>
          <w:szCs w:val="20"/>
        </w:rPr>
        <w:t>风味、品质特征，A级、A+</w:t>
      </w:r>
      <w:r>
        <w:rPr>
          <w:rFonts w:hint="eastAsia" w:asciiTheme="minorEastAsia" w:hAnsiTheme="minorEastAsia" w:cstheme="minorEastAsia"/>
          <w:sz w:val="20"/>
          <w:szCs w:val="20"/>
          <w:highlight w:val="none"/>
        </w:rPr>
        <w:t>级</w:t>
      </w:r>
      <w:r>
        <w:rPr>
          <w:rFonts w:hint="eastAsia" w:asciiTheme="minorEastAsia" w:hAnsiTheme="minorEastAsia" w:cstheme="minorEastAsia"/>
          <w:color w:val="auto"/>
          <w:sz w:val="20"/>
          <w:szCs w:val="20"/>
          <w:highlight w:val="none"/>
          <w:lang w:eastAsia="zh-CN"/>
        </w:rPr>
        <w:t>蜂糖李应</w:t>
      </w:r>
      <w:r>
        <w:rPr>
          <w:rFonts w:hint="eastAsia" w:asciiTheme="minorEastAsia" w:hAnsiTheme="minorEastAsia" w:cstheme="minorEastAsia"/>
          <w:sz w:val="20"/>
          <w:szCs w:val="20"/>
        </w:rPr>
        <w:t>根据检验结果查</w:t>
      </w:r>
      <w:r>
        <w:rPr>
          <w:rFonts w:hint="eastAsia" w:asciiTheme="minorEastAsia" w:hAnsiTheme="minorEastAsia" w:cstheme="minorEastAsia"/>
          <w:sz w:val="20"/>
          <w:szCs w:val="20"/>
          <w:lang w:eastAsia="zh-CN"/>
        </w:rPr>
        <w:t>询</w:t>
      </w:r>
      <w:r>
        <w:rPr>
          <w:rFonts w:hint="eastAsia" w:asciiTheme="minorEastAsia" w:hAnsiTheme="minorEastAsia" w:cstheme="minorEastAsia"/>
          <w:sz w:val="20"/>
          <w:szCs w:val="20"/>
        </w:rPr>
        <w:t>品质示值对照表后制作品质雷达图供消费者参考，以便消费者选择自己适合的产品。其中可溶性固形物代表甜度。</w:t>
      </w:r>
    </w:p>
    <w:p w14:paraId="51184C7E">
      <w:pPr>
        <w:spacing w:before="156" w:beforeLines="50" w:after="156" w:afterLines="50"/>
        <w:jc w:val="center"/>
        <w:rPr>
          <w:rFonts w:hint="eastAsia" w:ascii="黑体" w:hAnsi="黑体" w:eastAsia="黑体" w:cs="黑体"/>
          <w:sz w:val="20"/>
          <w:szCs w:val="20"/>
        </w:rPr>
      </w:pPr>
      <w:r>
        <w:rPr>
          <w:rFonts w:hint="eastAsia" w:ascii="黑体" w:hAnsi="黑体" w:eastAsia="黑体" w:cs="黑体"/>
          <w:sz w:val="20"/>
          <w:szCs w:val="20"/>
        </w:rPr>
        <w:t xml:space="preserve">表A.1  </w:t>
      </w:r>
      <w:r>
        <w:rPr>
          <w:rFonts w:hint="eastAsia" w:ascii="黑体" w:hAnsi="黑体" w:eastAsia="黑体" w:cs="黑体"/>
          <w:sz w:val="20"/>
          <w:szCs w:val="20"/>
          <w:lang w:eastAsia="zh-CN"/>
        </w:rPr>
        <w:t>蜂糖李</w:t>
      </w:r>
      <w:r>
        <w:rPr>
          <w:rFonts w:hint="eastAsia" w:ascii="黑体" w:hAnsi="黑体" w:eastAsia="黑体" w:cs="黑体"/>
          <w:sz w:val="20"/>
          <w:szCs w:val="20"/>
        </w:rPr>
        <w:t>品质示值对照表</w:t>
      </w:r>
    </w:p>
    <w:tbl>
      <w:tblPr>
        <w:tblStyle w:val="8"/>
        <w:tblW w:w="499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672"/>
        <w:gridCol w:w="1671"/>
        <w:gridCol w:w="2056"/>
        <w:gridCol w:w="1671"/>
        <w:gridCol w:w="1551"/>
      </w:tblGrid>
      <w:tr w14:paraId="2F237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5" w:type="pct"/>
            <w:tcBorders>
              <w:bottom w:val="single" w:color="auto" w:sz="8" w:space="0"/>
            </w:tcBorders>
            <w:vAlign w:val="center"/>
          </w:tcPr>
          <w:p w14:paraId="2C3B587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雷达图示值</w:t>
            </w:r>
          </w:p>
        </w:tc>
        <w:tc>
          <w:tcPr>
            <w:tcW w:w="1671" w:type="dxa"/>
            <w:tcBorders>
              <w:bottom w:val="single" w:color="auto" w:sz="8" w:space="0"/>
            </w:tcBorders>
            <w:vAlign w:val="center"/>
          </w:tcPr>
          <w:p w14:paraId="5DE43C8A">
            <w:pPr>
              <w:jc w:val="center"/>
              <w:rPr>
                <w:rFonts w:hint="eastAsia" w:asciiTheme="minorEastAsia" w:hAnsiTheme="minorEastAsia" w:cstheme="minorEastAsia"/>
                <w:sz w:val="20"/>
                <w:szCs w:val="20"/>
                <w:lang w:eastAsia="zh-CN"/>
              </w:rPr>
            </w:pPr>
            <w:r>
              <w:rPr>
                <w:rFonts w:hint="eastAsia" w:asciiTheme="minorEastAsia" w:hAnsiTheme="minorEastAsia" w:cstheme="minorEastAsia"/>
                <w:sz w:val="20"/>
                <w:szCs w:val="20"/>
                <w:lang w:eastAsia="zh-CN"/>
              </w:rPr>
              <w:t>可溶性固形物</w:t>
            </w:r>
          </w:p>
          <w:p w14:paraId="289F6CE3">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p>
        </w:tc>
        <w:tc>
          <w:tcPr>
            <w:tcW w:w="1670" w:type="dxa"/>
            <w:tcBorders>
              <w:bottom w:val="single" w:color="auto" w:sz="8" w:space="0"/>
            </w:tcBorders>
            <w:vAlign w:val="center"/>
          </w:tcPr>
          <w:p w14:paraId="2C57C80B">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eastAsia="zh-CN"/>
              </w:rPr>
              <w:t>总</w:t>
            </w:r>
            <w:r>
              <w:rPr>
                <w:rFonts w:hint="eastAsia" w:asciiTheme="minorEastAsia" w:hAnsiTheme="minorEastAsia" w:cstheme="minorEastAsia"/>
                <w:sz w:val="20"/>
                <w:szCs w:val="20"/>
              </w:rPr>
              <w:t>酸</w:t>
            </w:r>
          </w:p>
          <w:p w14:paraId="30FF3479">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（以苹果酸计）</w:t>
            </w:r>
          </w:p>
          <w:p w14:paraId="49F13739">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w:t>
            </w:r>
          </w:p>
        </w:tc>
        <w:tc>
          <w:tcPr>
            <w:tcW w:w="1034" w:type="pct"/>
            <w:tcBorders>
              <w:bottom w:val="single" w:color="auto" w:sz="8" w:space="0"/>
            </w:tcBorders>
            <w:shd w:val="clear" w:color="auto" w:fill="auto"/>
            <w:vAlign w:val="center"/>
          </w:tcPr>
          <w:p w14:paraId="5DBFE235">
            <w:pPr>
              <w:jc w:val="center"/>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水分</w:t>
            </w:r>
          </w:p>
          <w:p w14:paraId="24212FE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w:t>
            </w:r>
          </w:p>
        </w:tc>
        <w:tc>
          <w:tcPr>
            <w:tcW w:w="840" w:type="pct"/>
            <w:tcBorders>
              <w:bottom w:val="single" w:color="auto" w:sz="8" w:space="0"/>
            </w:tcBorders>
            <w:shd w:val="clear" w:color="auto" w:fill="auto"/>
            <w:vAlign w:val="center"/>
          </w:tcPr>
          <w:p w14:paraId="4EFF055B">
            <w:pPr>
              <w:jc w:val="center"/>
              <w:rPr>
                <w:rFonts w:hint="eastAsia" w:asciiTheme="minorEastAsia" w:hAnsiTheme="minorEastAsia" w:cstheme="minorEastAsia"/>
                <w:sz w:val="20"/>
                <w:szCs w:val="20"/>
                <w:lang w:eastAsia="zh-CN"/>
              </w:rPr>
            </w:pPr>
            <w:r>
              <w:rPr>
                <w:rFonts w:hint="eastAsia" w:asciiTheme="minorEastAsia" w:hAnsiTheme="minorEastAsia" w:cstheme="minorEastAsia"/>
                <w:sz w:val="20"/>
                <w:szCs w:val="20"/>
                <w:lang w:eastAsia="zh-CN"/>
              </w:rPr>
              <w:t>硬度</w:t>
            </w:r>
          </w:p>
          <w:p w14:paraId="3BC8CE36">
            <w:pPr>
              <w:jc w:val="center"/>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Kg/cm</w:t>
            </w:r>
            <w:r>
              <w:rPr>
                <w:rFonts w:hint="eastAsia" w:asciiTheme="minorEastAsia" w:hAnsiTheme="minorEastAsia" w:cstheme="minorEastAsia"/>
                <w:sz w:val="20"/>
                <w:szCs w:val="20"/>
                <w:vertAlign w:val="superscript"/>
                <w:lang w:val="en-US" w:eastAsia="zh-CN"/>
              </w:rPr>
              <w:t>2</w:t>
            </w:r>
          </w:p>
        </w:tc>
        <w:tc>
          <w:tcPr>
            <w:tcW w:w="780" w:type="pct"/>
            <w:tcBorders>
              <w:bottom w:val="single" w:color="auto" w:sz="8" w:space="0"/>
            </w:tcBorders>
            <w:vAlign w:val="center"/>
          </w:tcPr>
          <w:p w14:paraId="5B08E347">
            <w:pPr>
              <w:jc w:val="center"/>
              <w:rPr>
                <w:rFonts w:hint="eastAsia" w:asciiTheme="minorEastAsia" w:hAnsiTheme="minorEastAsia" w:cstheme="minorEastAsia"/>
                <w:sz w:val="20"/>
                <w:szCs w:val="20"/>
                <w:lang w:eastAsia="zh-CN"/>
              </w:rPr>
            </w:pPr>
            <w:r>
              <w:rPr>
                <w:rFonts w:hint="eastAsia" w:asciiTheme="minorEastAsia" w:hAnsiTheme="minorEastAsia" w:cstheme="minorEastAsia"/>
                <w:sz w:val="20"/>
                <w:szCs w:val="20"/>
                <w:lang w:eastAsia="zh-CN"/>
              </w:rPr>
              <w:t>还原糖</w:t>
            </w:r>
          </w:p>
          <w:p w14:paraId="6CBD2438">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cstheme="minorEastAsia"/>
                <w:sz w:val="20"/>
                <w:szCs w:val="20"/>
                <w:lang w:val="en-US" w:eastAsia="zh-CN"/>
              </w:rPr>
              <w:t>%</w:t>
            </w:r>
          </w:p>
        </w:tc>
      </w:tr>
      <w:tr w14:paraId="4F35FC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op w:val="single" w:color="auto" w:sz="8" w:space="0"/>
              <w:tl2br w:val="nil"/>
              <w:tr2bl w:val="nil"/>
            </w:tcBorders>
            <w:shd w:val="clear" w:color="auto" w:fill="auto"/>
            <w:vAlign w:val="center"/>
          </w:tcPr>
          <w:p w14:paraId="7F36203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13</w:t>
            </w:r>
          </w:p>
        </w:tc>
        <w:tc>
          <w:tcPr>
            <w:tcW w:w="1671" w:type="dxa"/>
            <w:tcBorders>
              <w:top w:val="single" w:color="auto" w:sz="8" w:space="0"/>
              <w:tl2br w:val="nil"/>
              <w:tr2bl w:val="nil"/>
            </w:tcBorders>
            <w:vAlign w:val="center"/>
          </w:tcPr>
          <w:p w14:paraId="5A7E7EF3">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＜10.0</w:t>
            </w:r>
          </w:p>
        </w:tc>
        <w:tc>
          <w:tcPr>
            <w:tcW w:w="1670" w:type="dxa"/>
            <w:tcBorders>
              <w:top w:val="single" w:color="auto" w:sz="8" w:space="0"/>
              <w:tl2br w:val="nil"/>
              <w:tr2bl w:val="nil"/>
            </w:tcBorders>
            <w:vAlign w:val="center"/>
          </w:tcPr>
          <w:p w14:paraId="41D9071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0.55</w:t>
            </w:r>
          </w:p>
        </w:tc>
        <w:tc>
          <w:tcPr>
            <w:tcW w:w="1034" w:type="pct"/>
            <w:tcBorders>
              <w:top w:val="single" w:color="auto" w:sz="8" w:space="0"/>
              <w:tl2br w:val="nil"/>
              <w:tr2bl w:val="nil"/>
            </w:tcBorders>
            <w:shd w:val="clear" w:color="auto" w:fill="auto"/>
            <w:vAlign w:val="center"/>
          </w:tcPr>
          <w:p w14:paraId="3DF2F7B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74.0</w:t>
            </w:r>
          </w:p>
        </w:tc>
        <w:tc>
          <w:tcPr>
            <w:tcW w:w="840" w:type="pct"/>
            <w:tcBorders>
              <w:top w:val="single" w:color="auto" w:sz="8" w:space="0"/>
              <w:tl2br w:val="nil"/>
              <w:tr2bl w:val="nil"/>
            </w:tcBorders>
            <w:shd w:val="clear" w:color="auto" w:fill="auto"/>
            <w:vAlign w:val="center"/>
          </w:tcPr>
          <w:p w14:paraId="2D1718C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7.5</w:t>
            </w:r>
          </w:p>
        </w:tc>
        <w:tc>
          <w:tcPr>
            <w:tcW w:w="780" w:type="pct"/>
            <w:tcBorders>
              <w:top w:val="single" w:color="auto" w:sz="8" w:space="0"/>
              <w:tl2br w:val="nil"/>
              <w:tr2bl w:val="nil"/>
            </w:tcBorders>
            <w:vAlign w:val="center"/>
          </w:tcPr>
          <w:p w14:paraId="6A1F5613">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＜5.0</w:t>
            </w:r>
          </w:p>
        </w:tc>
      </w:tr>
      <w:tr w14:paraId="0934E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6521E68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14</w:t>
            </w:r>
          </w:p>
        </w:tc>
        <w:tc>
          <w:tcPr>
            <w:tcW w:w="1671" w:type="dxa"/>
            <w:tcBorders>
              <w:tl2br w:val="nil"/>
              <w:tr2bl w:val="nil"/>
            </w:tcBorders>
            <w:vAlign w:val="center"/>
          </w:tcPr>
          <w:p w14:paraId="60955EF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10</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p>
        </w:tc>
        <w:tc>
          <w:tcPr>
            <w:tcW w:w="1670" w:type="dxa"/>
            <w:tcBorders>
              <w:tl2br w:val="nil"/>
              <w:tr2bl w:val="nil"/>
            </w:tcBorders>
            <w:vAlign w:val="center"/>
          </w:tcPr>
          <w:p w14:paraId="5D6A3EF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0.51</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0.55</w:t>
            </w:r>
          </w:p>
        </w:tc>
        <w:tc>
          <w:tcPr>
            <w:tcW w:w="1034" w:type="pct"/>
            <w:tcBorders>
              <w:tl2br w:val="nil"/>
              <w:tr2bl w:val="nil"/>
            </w:tcBorders>
            <w:shd w:val="clear" w:color="auto" w:fill="auto"/>
            <w:vAlign w:val="center"/>
          </w:tcPr>
          <w:p w14:paraId="4FFD896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74.0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75.9</w:t>
            </w:r>
          </w:p>
        </w:tc>
        <w:tc>
          <w:tcPr>
            <w:tcW w:w="840" w:type="pct"/>
            <w:tcBorders>
              <w:tl2br w:val="nil"/>
              <w:tr2bl w:val="nil"/>
            </w:tcBorders>
            <w:shd w:val="clear" w:color="auto" w:fill="auto"/>
            <w:vAlign w:val="center"/>
          </w:tcPr>
          <w:p w14:paraId="4C8C224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7.5-7.9</w:t>
            </w:r>
          </w:p>
        </w:tc>
        <w:tc>
          <w:tcPr>
            <w:tcW w:w="780" w:type="pct"/>
            <w:tcBorders>
              <w:tl2br w:val="nil"/>
              <w:tr2bl w:val="nil"/>
            </w:tcBorders>
            <w:vAlign w:val="center"/>
          </w:tcPr>
          <w:p w14:paraId="370D02E5">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5.0-</w:t>
            </w:r>
            <w:r>
              <w:rPr>
                <w:rFonts w:hint="eastAsia" w:asciiTheme="minorEastAsia" w:hAnsiTheme="minorEastAsia" w:cstheme="minorEastAsia"/>
                <w:sz w:val="20"/>
                <w:szCs w:val="20"/>
                <w:lang w:val="en-US" w:eastAsia="zh-CN"/>
              </w:rPr>
              <w:t>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w:t>
            </w:r>
          </w:p>
        </w:tc>
      </w:tr>
      <w:tr w14:paraId="3C659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4EC1846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15</w:t>
            </w:r>
          </w:p>
        </w:tc>
        <w:tc>
          <w:tcPr>
            <w:tcW w:w="1671" w:type="dxa"/>
            <w:tcBorders>
              <w:tl2br w:val="nil"/>
              <w:tr2bl w:val="nil"/>
            </w:tcBorders>
            <w:vAlign w:val="center"/>
          </w:tcPr>
          <w:p w14:paraId="71004B9C">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11</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11</w:t>
            </w:r>
            <w:r>
              <w:rPr>
                <w:rFonts w:hint="eastAsia" w:asciiTheme="minorEastAsia" w:hAnsiTheme="minorEastAsia" w:cstheme="minorEastAsia"/>
                <w:sz w:val="20"/>
                <w:szCs w:val="20"/>
              </w:rPr>
              <w:t>.9</w:t>
            </w:r>
          </w:p>
        </w:tc>
        <w:tc>
          <w:tcPr>
            <w:tcW w:w="1670" w:type="dxa"/>
            <w:tcBorders>
              <w:tl2br w:val="nil"/>
              <w:tr2bl w:val="nil"/>
            </w:tcBorders>
            <w:vAlign w:val="center"/>
          </w:tcPr>
          <w:p w14:paraId="33619FBA">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0.46</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0.50</w:t>
            </w:r>
          </w:p>
        </w:tc>
        <w:tc>
          <w:tcPr>
            <w:tcW w:w="1034" w:type="pct"/>
            <w:tcBorders>
              <w:tl2br w:val="nil"/>
              <w:tr2bl w:val="nil"/>
            </w:tcBorders>
            <w:shd w:val="clear" w:color="auto" w:fill="auto"/>
            <w:vAlign w:val="center"/>
          </w:tcPr>
          <w:p w14:paraId="4339666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76.0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77.9</w:t>
            </w:r>
          </w:p>
        </w:tc>
        <w:tc>
          <w:tcPr>
            <w:tcW w:w="840" w:type="pct"/>
            <w:tcBorders>
              <w:tl2br w:val="nil"/>
              <w:tr2bl w:val="nil"/>
            </w:tcBorders>
            <w:shd w:val="clear" w:color="auto" w:fill="auto"/>
            <w:vAlign w:val="center"/>
          </w:tcPr>
          <w:p w14:paraId="0C197FD7">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8.4</w:t>
            </w:r>
          </w:p>
        </w:tc>
        <w:tc>
          <w:tcPr>
            <w:tcW w:w="780" w:type="pct"/>
            <w:tcBorders>
              <w:tl2br w:val="nil"/>
              <w:tr2bl w:val="nil"/>
            </w:tcBorders>
            <w:shd w:val="clear" w:color="auto" w:fill="auto"/>
            <w:vAlign w:val="center"/>
          </w:tcPr>
          <w:p w14:paraId="494A2476">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5</w:t>
            </w:r>
            <w:r>
              <w:rPr>
                <w:rFonts w:hint="eastAsia" w:asciiTheme="minorEastAsia" w:hAnsiTheme="minorEastAsia" w:cstheme="minorEastAsia"/>
                <w:sz w:val="20"/>
                <w:szCs w:val="20"/>
              </w:rPr>
              <w:t>.9</w:t>
            </w:r>
          </w:p>
        </w:tc>
      </w:tr>
      <w:tr w14:paraId="68B1A4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2039C8F0">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16</w:t>
            </w:r>
          </w:p>
        </w:tc>
        <w:tc>
          <w:tcPr>
            <w:tcW w:w="1671" w:type="dxa"/>
            <w:tcBorders>
              <w:tl2br w:val="nil"/>
              <w:tr2bl w:val="nil"/>
            </w:tcBorders>
            <w:shd w:val="clear" w:color="auto" w:fill="auto"/>
            <w:vAlign w:val="center"/>
          </w:tcPr>
          <w:p w14:paraId="63DE67B7">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12</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12</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p>
        </w:tc>
        <w:tc>
          <w:tcPr>
            <w:tcW w:w="1670" w:type="dxa"/>
            <w:tcBorders>
              <w:tl2br w:val="nil"/>
              <w:tr2bl w:val="nil"/>
            </w:tcBorders>
            <w:shd w:val="clear" w:color="auto" w:fill="auto"/>
            <w:vAlign w:val="center"/>
          </w:tcPr>
          <w:p w14:paraId="663DD116">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41</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0.45</w:t>
            </w:r>
          </w:p>
        </w:tc>
        <w:tc>
          <w:tcPr>
            <w:tcW w:w="1034" w:type="pct"/>
            <w:tcBorders>
              <w:tl2br w:val="nil"/>
              <w:tr2bl w:val="nil"/>
            </w:tcBorders>
            <w:shd w:val="clear" w:color="auto" w:fill="auto"/>
            <w:vAlign w:val="center"/>
          </w:tcPr>
          <w:p w14:paraId="6C8B31A0">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78.0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79.9</w:t>
            </w:r>
          </w:p>
        </w:tc>
        <w:tc>
          <w:tcPr>
            <w:tcW w:w="840" w:type="pct"/>
            <w:tcBorders>
              <w:tl2br w:val="nil"/>
              <w:tr2bl w:val="nil"/>
            </w:tcBorders>
            <w:shd w:val="clear" w:color="auto" w:fill="auto"/>
            <w:vAlign w:val="center"/>
          </w:tcPr>
          <w:p w14:paraId="32FBB1E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8.9</w:t>
            </w:r>
          </w:p>
        </w:tc>
        <w:tc>
          <w:tcPr>
            <w:tcW w:w="780" w:type="pct"/>
            <w:tcBorders>
              <w:tl2br w:val="nil"/>
              <w:tr2bl w:val="nil"/>
            </w:tcBorders>
            <w:shd w:val="clear" w:color="auto" w:fill="auto"/>
            <w:vAlign w:val="center"/>
          </w:tcPr>
          <w:p w14:paraId="7CE4983F">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6</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w:t>
            </w:r>
          </w:p>
        </w:tc>
      </w:tr>
      <w:tr w14:paraId="525CEC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65" w:type="pct"/>
            <w:tcBorders>
              <w:tl2br w:val="nil"/>
              <w:tr2bl w:val="nil"/>
            </w:tcBorders>
            <w:shd w:val="clear" w:color="auto" w:fill="auto"/>
            <w:vAlign w:val="center"/>
          </w:tcPr>
          <w:p w14:paraId="0212902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17</w:t>
            </w:r>
          </w:p>
        </w:tc>
        <w:tc>
          <w:tcPr>
            <w:tcW w:w="1671" w:type="dxa"/>
            <w:tcBorders>
              <w:tl2br w:val="nil"/>
              <w:tr2bl w:val="nil"/>
            </w:tcBorders>
            <w:shd w:val="clear" w:color="auto" w:fill="auto"/>
            <w:vAlign w:val="center"/>
          </w:tcPr>
          <w:p w14:paraId="1D308AF3">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13</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13</w:t>
            </w:r>
            <w:r>
              <w:rPr>
                <w:rFonts w:hint="eastAsia" w:asciiTheme="minorEastAsia" w:hAnsiTheme="minorEastAsia" w:cstheme="minorEastAsia"/>
                <w:sz w:val="20"/>
                <w:szCs w:val="20"/>
              </w:rPr>
              <w:t>.9</w:t>
            </w:r>
          </w:p>
        </w:tc>
        <w:tc>
          <w:tcPr>
            <w:tcW w:w="1670" w:type="dxa"/>
            <w:tcBorders>
              <w:tl2br w:val="nil"/>
              <w:tr2bl w:val="nil"/>
            </w:tcBorders>
            <w:shd w:val="clear" w:color="auto" w:fill="auto"/>
            <w:vAlign w:val="center"/>
          </w:tcPr>
          <w:p w14:paraId="6A4F45E6">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36</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40</w:t>
            </w:r>
          </w:p>
        </w:tc>
        <w:tc>
          <w:tcPr>
            <w:tcW w:w="1034" w:type="pct"/>
            <w:tcBorders>
              <w:tl2br w:val="nil"/>
              <w:tr2bl w:val="nil"/>
            </w:tcBorders>
            <w:shd w:val="clear" w:color="auto" w:fill="auto"/>
            <w:vAlign w:val="center"/>
          </w:tcPr>
          <w:p w14:paraId="7E396D2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81.9</w:t>
            </w:r>
          </w:p>
        </w:tc>
        <w:tc>
          <w:tcPr>
            <w:tcW w:w="840" w:type="pct"/>
            <w:tcBorders>
              <w:tl2br w:val="nil"/>
              <w:tr2bl w:val="nil"/>
            </w:tcBorders>
            <w:shd w:val="clear" w:color="auto" w:fill="auto"/>
            <w:vAlign w:val="center"/>
          </w:tcPr>
          <w:p w14:paraId="7C1E7BB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9.0-9.4</w:t>
            </w:r>
          </w:p>
        </w:tc>
        <w:tc>
          <w:tcPr>
            <w:tcW w:w="780" w:type="pct"/>
            <w:tcBorders>
              <w:tl2br w:val="nil"/>
              <w:tr2bl w:val="nil"/>
            </w:tcBorders>
            <w:shd w:val="clear" w:color="auto" w:fill="auto"/>
            <w:vAlign w:val="center"/>
          </w:tcPr>
          <w:p w14:paraId="387DEF95">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cstheme="minorEastAsia"/>
                <w:sz w:val="20"/>
                <w:szCs w:val="20"/>
                <w:lang w:val="en-US" w:eastAsia="zh-CN"/>
              </w:rPr>
              <w:t>6</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w:t>
            </w:r>
          </w:p>
        </w:tc>
      </w:tr>
      <w:tr w14:paraId="42360E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51ED1EF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18</w:t>
            </w:r>
          </w:p>
        </w:tc>
        <w:tc>
          <w:tcPr>
            <w:tcW w:w="1671" w:type="dxa"/>
            <w:tcBorders>
              <w:tl2br w:val="nil"/>
              <w:tr2bl w:val="nil"/>
            </w:tcBorders>
            <w:shd w:val="clear" w:color="auto" w:fill="auto"/>
            <w:vAlign w:val="center"/>
          </w:tcPr>
          <w:p w14:paraId="10C8E55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14</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14</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p>
        </w:tc>
        <w:tc>
          <w:tcPr>
            <w:tcW w:w="1670" w:type="dxa"/>
            <w:tcBorders>
              <w:tl2br w:val="nil"/>
              <w:tr2bl w:val="nil"/>
            </w:tcBorders>
            <w:shd w:val="clear" w:color="auto" w:fill="auto"/>
            <w:vAlign w:val="center"/>
          </w:tcPr>
          <w:p w14:paraId="0612C94C">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31</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35</w:t>
            </w:r>
          </w:p>
        </w:tc>
        <w:tc>
          <w:tcPr>
            <w:tcW w:w="1034" w:type="pct"/>
            <w:tcBorders>
              <w:tl2br w:val="nil"/>
              <w:tr2bl w:val="nil"/>
            </w:tcBorders>
            <w:shd w:val="clear" w:color="auto" w:fill="auto"/>
            <w:vAlign w:val="center"/>
          </w:tcPr>
          <w:p w14:paraId="19C10CC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82.0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83.9</w:t>
            </w:r>
          </w:p>
        </w:tc>
        <w:tc>
          <w:tcPr>
            <w:tcW w:w="840" w:type="pct"/>
            <w:tcBorders>
              <w:tl2br w:val="nil"/>
              <w:tr2bl w:val="nil"/>
            </w:tcBorders>
            <w:shd w:val="clear" w:color="auto" w:fill="auto"/>
            <w:vAlign w:val="center"/>
          </w:tcPr>
          <w:p w14:paraId="1E14E40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9.5-9.9</w:t>
            </w:r>
          </w:p>
        </w:tc>
        <w:tc>
          <w:tcPr>
            <w:tcW w:w="780" w:type="pct"/>
            <w:tcBorders>
              <w:tl2br w:val="nil"/>
              <w:tr2bl w:val="nil"/>
            </w:tcBorders>
            <w:shd w:val="clear" w:color="auto" w:fill="auto"/>
            <w:vAlign w:val="center"/>
          </w:tcPr>
          <w:p w14:paraId="227D7674">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cstheme="minorEastAsia"/>
                <w:sz w:val="20"/>
                <w:szCs w:val="20"/>
              </w:rPr>
              <w:t>7.</w:t>
            </w:r>
            <w:r>
              <w:rPr>
                <w:rFonts w:hint="eastAsia" w:asciiTheme="minorEastAsia" w:hAnsiTheme="minorEastAsia" w:cstheme="minorEastAsia"/>
                <w:sz w:val="20"/>
                <w:szCs w:val="20"/>
                <w:lang w:val="en-US" w:eastAsia="zh-CN"/>
              </w:rPr>
              <w:t>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w:t>
            </w:r>
          </w:p>
        </w:tc>
      </w:tr>
      <w:tr w14:paraId="03DFB2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2EDD7763">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19</w:t>
            </w:r>
          </w:p>
        </w:tc>
        <w:tc>
          <w:tcPr>
            <w:tcW w:w="1671" w:type="dxa"/>
            <w:tcBorders>
              <w:tl2br w:val="nil"/>
              <w:tr2bl w:val="nil"/>
            </w:tcBorders>
            <w:vAlign w:val="center"/>
          </w:tcPr>
          <w:p w14:paraId="0139CC76">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15</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p>
        </w:tc>
        <w:tc>
          <w:tcPr>
            <w:tcW w:w="1670" w:type="dxa"/>
            <w:tcBorders>
              <w:tl2br w:val="nil"/>
              <w:tr2bl w:val="nil"/>
            </w:tcBorders>
            <w:vAlign w:val="center"/>
          </w:tcPr>
          <w:p w14:paraId="216586E3">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26</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30</w:t>
            </w:r>
          </w:p>
        </w:tc>
        <w:tc>
          <w:tcPr>
            <w:tcW w:w="1034" w:type="pct"/>
            <w:tcBorders>
              <w:tl2br w:val="nil"/>
              <w:tr2bl w:val="nil"/>
            </w:tcBorders>
            <w:shd w:val="clear" w:color="auto" w:fill="auto"/>
            <w:vAlign w:val="center"/>
          </w:tcPr>
          <w:p w14:paraId="4EF478E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84.0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85.9</w:t>
            </w:r>
          </w:p>
        </w:tc>
        <w:tc>
          <w:tcPr>
            <w:tcW w:w="840" w:type="pct"/>
            <w:tcBorders>
              <w:tl2br w:val="nil"/>
              <w:tr2bl w:val="nil"/>
            </w:tcBorders>
            <w:shd w:val="clear" w:color="auto" w:fill="auto"/>
            <w:vAlign w:val="center"/>
          </w:tcPr>
          <w:p w14:paraId="13CEEB02">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10.0-10.4</w:t>
            </w:r>
          </w:p>
        </w:tc>
        <w:tc>
          <w:tcPr>
            <w:tcW w:w="780" w:type="pct"/>
            <w:tcBorders>
              <w:tl2br w:val="nil"/>
              <w:tr2bl w:val="nil"/>
            </w:tcBorders>
            <w:shd w:val="clear" w:color="auto" w:fill="auto"/>
            <w:vAlign w:val="center"/>
          </w:tcPr>
          <w:p w14:paraId="041A66A0">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cstheme="minorEastAsia"/>
                <w:sz w:val="20"/>
                <w:szCs w:val="20"/>
                <w:lang w:val="en-US" w:eastAsia="zh-CN"/>
              </w:rPr>
              <w:t>8</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w:t>
            </w:r>
          </w:p>
        </w:tc>
      </w:tr>
      <w:tr w14:paraId="13F56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37D9A3E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20</w:t>
            </w:r>
          </w:p>
        </w:tc>
        <w:tc>
          <w:tcPr>
            <w:tcW w:w="1671" w:type="dxa"/>
            <w:tcBorders>
              <w:tl2br w:val="nil"/>
              <w:tr2bl w:val="nil"/>
            </w:tcBorders>
            <w:vAlign w:val="center"/>
          </w:tcPr>
          <w:p w14:paraId="3370BBB1">
            <w:pPr>
              <w:jc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16.0</w:t>
            </w:r>
          </w:p>
        </w:tc>
        <w:tc>
          <w:tcPr>
            <w:tcW w:w="1670" w:type="dxa"/>
            <w:tcBorders>
              <w:tl2br w:val="nil"/>
              <w:tr2bl w:val="nil"/>
            </w:tcBorders>
            <w:vAlign w:val="center"/>
          </w:tcPr>
          <w:p w14:paraId="06DD3DAF">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29</w:t>
            </w:r>
          </w:p>
        </w:tc>
        <w:tc>
          <w:tcPr>
            <w:tcW w:w="1034" w:type="pct"/>
            <w:tcBorders>
              <w:tl2br w:val="nil"/>
              <w:tr2bl w:val="nil"/>
            </w:tcBorders>
            <w:shd w:val="clear" w:color="auto" w:fill="auto"/>
            <w:vAlign w:val="center"/>
          </w:tcPr>
          <w:p w14:paraId="709427E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86.0</w:t>
            </w:r>
          </w:p>
        </w:tc>
        <w:tc>
          <w:tcPr>
            <w:tcW w:w="840" w:type="pct"/>
            <w:tcBorders>
              <w:tl2br w:val="nil"/>
              <w:tr2bl w:val="nil"/>
            </w:tcBorders>
            <w:shd w:val="clear" w:color="auto" w:fill="auto"/>
            <w:vAlign w:val="center"/>
          </w:tcPr>
          <w:p w14:paraId="7ECAE39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≥10.5</w:t>
            </w:r>
          </w:p>
        </w:tc>
        <w:tc>
          <w:tcPr>
            <w:tcW w:w="780" w:type="pct"/>
            <w:tcBorders>
              <w:tl2br w:val="nil"/>
              <w:tr2bl w:val="nil"/>
            </w:tcBorders>
            <w:shd w:val="clear" w:color="auto" w:fill="auto"/>
            <w:vAlign w:val="center"/>
          </w:tcPr>
          <w:p w14:paraId="488AE80F">
            <w:pPr>
              <w:jc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9.5</w:t>
            </w:r>
          </w:p>
        </w:tc>
      </w:tr>
    </w:tbl>
    <w:p w14:paraId="66341703">
      <w:pPr>
        <w:adjustRightInd w:val="0"/>
        <w:snapToGrid w:val="0"/>
        <w:rPr>
          <w:rFonts w:hint="eastAsia" w:asciiTheme="minorEastAsia" w:hAnsiTheme="minorEastAsia" w:cstheme="minorEastAsia"/>
          <w:sz w:val="20"/>
          <w:szCs w:val="20"/>
        </w:rPr>
      </w:pPr>
    </w:p>
    <w:p w14:paraId="6D8DABF5">
      <w:pPr>
        <w:adjustRightInd w:val="0"/>
        <w:snapToGrid w:val="0"/>
        <w:jc w:val="center"/>
        <w:rPr>
          <w:rFonts w:asciiTheme="minorEastAsia" w:hAnsiTheme="minorEastAsia" w:cstheme="minorEastAsia"/>
          <w:sz w:val="20"/>
          <w:szCs w:val="20"/>
        </w:rPr>
      </w:pPr>
    </w:p>
    <w:p w14:paraId="3D8BB47B">
      <w:pPr>
        <w:adjustRightInd w:val="0"/>
        <w:snapToGrid w:val="0"/>
        <w:jc w:val="center"/>
        <w:rPr>
          <w:rFonts w:hint="eastAsia" w:asciiTheme="minorEastAsia" w:hAnsiTheme="minorEastAsia" w:cstheme="minorEastAsia"/>
          <w:sz w:val="20"/>
          <w:szCs w:val="20"/>
        </w:rPr>
      </w:pPr>
      <w:r>
        <w:rPr>
          <w:rFonts w:hint="eastAsia" w:ascii="仿宋_GB2312" w:hAnsi="仿宋_GB2312" w:eastAsia="仿宋_GB2312" w:cs="仿宋_GB2312"/>
          <w:color w:val="000000"/>
          <w:kern w:val="0"/>
          <w:sz w:val="32"/>
          <w:szCs w:val="32"/>
          <w:lang w:bidi="ar"/>
        </w:rPr>
        <w:object>
          <v:shape id="_x0000_i1025" o:spt="75" alt="" type="#_x0000_t75" style="height:260.9pt;width:430.55pt;" o:ole="t" filled="f" o:preferrelative="t" stroked="f" coordsize="21600,21600">
            <v:path/>
            <v:fill on="f" focussize="0,0"/>
            <v:stroke on="f"/>
            <v:imagedata r:id="rId22" o:title=""/>
            <o:lock v:ext="edit" aspectratio="t"/>
            <w10:wrap type="none"/>
            <w10:anchorlock/>
          </v:shape>
          <o:OLEObject Type="Embed" ProgID="Excel.Chart.8" ShapeID="_x0000_i1025" DrawAspect="Content" ObjectID="_1468075725" r:id="rId21">
            <o:LockedField>false</o:LockedField>
          </o:OLEObject>
        </w:object>
      </w:r>
    </w:p>
    <w:p w14:paraId="33979A8A">
      <w:pPr>
        <w:jc w:val="center"/>
        <w:rPr>
          <w:rFonts w:hint="eastAsia" w:ascii="黑体" w:hAnsi="黑体" w:eastAsia="黑体" w:cs="黑体"/>
          <w:color w:val="000000"/>
          <w:kern w:val="0"/>
          <w:sz w:val="20"/>
          <w:szCs w:val="20"/>
          <w:lang w:bidi="ar"/>
        </w:rPr>
      </w:pPr>
      <w:r>
        <w:rPr>
          <w:rFonts w:hint="eastAsia" w:ascii="黑体" w:hAnsi="黑体" w:eastAsia="黑体" w:cs="黑体"/>
          <w:sz w:val="20"/>
          <w:szCs w:val="20"/>
        </w:rPr>
        <w:t xml:space="preserve">图A.1  </w:t>
      </w:r>
      <w:r>
        <w:rPr>
          <w:rFonts w:hint="eastAsia" w:ascii="黑体" w:hAnsi="黑体" w:eastAsia="黑体" w:cs="黑体"/>
          <w:sz w:val="20"/>
          <w:szCs w:val="20"/>
          <w:lang w:eastAsia="zh-CN"/>
        </w:rPr>
        <w:t>蜂糖李</w:t>
      </w:r>
      <w:r>
        <w:rPr>
          <w:rFonts w:hint="eastAsia" w:ascii="黑体" w:hAnsi="黑体" w:eastAsia="黑体" w:cs="黑体"/>
          <w:sz w:val="20"/>
          <w:szCs w:val="20"/>
        </w:rPr>
        <w:t>品质雷达图</w:t>
      </w:r>
    </w:p>
    <w:p w14:paraId="5A108163">
      <w:pPr>
        <w:ind w:firstLine="12480" w:firstLineChars="3900"/>
        <w:rPr>
          <w:rFonts w:hint="eastAsia" w:ascii="仿宋_GB2312" w:hAnsi="仿宋_GB2312" w:eastAsia="仿宋_GB2312" w:cs="仿宋_GB2312"/>
          <w:color w:val="000000"/>
          <w:kern w:val="0"/>
          <w:sz w:val="32"/>
          <w:szCs w:val="32"/>
          <w:lang w:bidi="ar"/>
        </w:rPr>
      </w:pPr>
    </w:p>
    <w:p w14:paraId="4640AA53">
      <w:pPr>
        <w:pStyle w:val="2"/>
        <w:spacing w:before="0" w:after="0" w:line="240" w:lineRule="auto"/>
      </w:pPr>
      <w:bookmarkStart w:id="23" w:name="_GoBack"/>
      <w:bookmarkEnd w:id="23"/>
      <w:r>
        <mc:AlternateContent>
          <mc:Choice Requires="wps">
            <w:drawing>
              <wp:anchor distT="0" distB="0" distL="114300" distR="114300" simplePos="0" relativeHeight="251659264" behindDoc="0" locked="0" layoutInCell="1" allowOverlap="1">
                <wp:simplePos x="0" y="0"/>
                <wp:positionH relativeFrom="column">
                  <wp:posOffset>2259330</wp:posOffset>
                </wp:positionH>
                <wp:positionV relativeFrom="paragraph">
                  <wp:posOffset>1270</wp:posOffset>
                </wp:positionV>
                <wp:extent cx="1670685" cy="0"/>
                <wp:effectExtent l="0" t="6350" r="0" b="6350"/>
                <wp:wrapNone/>
                <wp:docPr id="3" name="直接连接符 3"/>
                <wp:cNvGraphicFramePr/>
                <a:graphic xmlns:a="http://schemas.openxmlformats.org/drawingml/2006/main">
                  <a:graphicData uri="http://schemas.microsoft.com/office/word/2010/wordprocessingShape">
                    <wps:wsp>
                      <wps:cNvCnPr/>
                      <wps:spPr>
                        <a:xfrm>
                          <a:off x="2927350" y="8126730"/>
                          <a:ext cx="167068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77.9pt;margin-top:0.1pt;height:0pt;width:131.55pt;z-index:251659264;mso-width-relative:page;mso-height-relative:page;" filled="f" stroked="t" coordsize="21600,21600" o:gfxdata="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hGdzNYAAAAFAQAADwAAAAAAAAABACAAAAAiAAAAZHJzL2Rvd25yZXYueG1sUEsBAhQAFAAA&#10;AAgAh07iQIBd/DDxAQAAvgMAAA4AAAAAAAAAAQAgAAAAJQEAAGRycy9lMm9Eb2MueG1sUEsFBgAA&#10;AAAGAAYAWQEAAIgFAAAAAA==&#10;">
                <v:fill on="f" focussize="0,0"/>
                <v:stroke weight="1pt" color="#000000 [3213]" miterlimit="8" joinstyle="miter"/>
                <v:imagedata o:title=""/>
                <o:lock v:ext="edit" aspectratio="f"/>
              </v:line>
            </w:pict>
          </mc:Fallback>
        </mc:AlternateContent>
      </w:r>
    </w:p>
    <w:sectPr>
      <w:headerReference r:id="rId16" w:type="default"/>
      <w:footerReference r:id="rId18" w:type="default"/>
      <w:headerReference r:id="rId17" w:type="even"/>
      <w:footerReference r:id="rId19" w:type="even"/>
      <w:pgSz w:w="11906" w:h="16838"/>
      <w:pgMar w:top="1417" w:right="1080" w:bottom="1417"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9F3DD">
    <w:pPr>
      <w:pStyle w:val="4"/>
      <w:jc w:val="right"/>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CA9F59">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2CA9F59">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B322A">
    <w:pPr>
      <w:pStyle w:val="4"/>
      <w:tabs>
        <w:tab w:val="left" w:pos="223"/>
        <w:tab w:val="clear" w:pos="4153"/>
      </w:tabs>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678BF">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92678BF">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4D83B">
    <w:pPr>
      <w:pStyle w:val="4"/>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137532">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1137532">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B907E">
    <w:pPr>
      <w:pStyle w:val="4"/>
      <w:jc w:val="right"/>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9C945">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0AB9C945">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190BA">
    <w:pPr>
      <w:pStyle w:val="4"/>
      <w:tabs>
        <w:tab w:val="left" w:pos="223"/>
        <w:tab w:val="clear" w:pos="4153"/>
      </w:tabs>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6B6B5">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6A76B6B5">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5C649">
    <w:pPr>
      <w:pStyle w:val="4"/>
      <w:jc w:val="both"/>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3FFC2">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7F83FFC2">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5F8B6">
    <w:pPr>
      <w:pStyle w:val="4"/>
      <w:jc w:val="right"/>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A4152A">
                          <w:pPr>
                            <w:pStyle w:val="4"/>
                            <w:jc w:val="right"/>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2A4152A">
                    <w:pPr>
                      <w:pStyle w:val="4"/>
                      <w:jc w:val="right"/>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3C992">
    <w:pPr>
      <w:pStyle w:val="4"/>
      <w:tabs>
        <w:tab w:val="left" w:pos="223"/>
        <w:tab w:val="clear" w:pos="4153"/>
      </w:tabs>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46410">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1EF46410">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F9FB4">
    <w:pPr>
      <w:jc w:val="right"/>
      <w:rPr>
        <w:rFonts w:hint="eastAsia" w:ascii="黑体" w:hAnsi="黑体" w:eastAsia="黑体" w:cs="黑体"/>
        <w:sz w:val="20"/>
        <w:szCs w:val="20"/>
      </w:rPr>
    </w:pPr>
  </w:p>
  <w:p w14:paraId="326E80E0">
    <w:pPr>
      <w:jc w:val="right"/>
    </w:pPr>
    <w:r>
      <w:rPr>
        <w:rFonts w:hint="eastAsia" w:ascii="黑体" w:hAnsi="黑体" w:eastAsia="黑体" w:cs="黑体"/>
        <w:sz w:val="20"/>
        <w:szCs w:val="20"/>
      </w:rPr>
      <w:t>T/SZNB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1E14A">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32D5D">
    <w:pPr>
      <w:pStyle w:val="5"/>
    </w:pPr>
  </w:p>
  <w:p w14:paraId="225FF8F7">
    <w:pPr>
      <w:jc w:val="right"/>
    </w:pPr>
    <w:r>
      <w:rPr>
        <w:rFonts w:hint="eastAsia" w:ascii="黑体" w:hAnsi="黑体" w:eastAsia="黑体" w:cs="黑体"/>
        <w:sz w:val="20"/>
        <w:szCs w:val="20"/>
      </w:rPr>
      <w:t>T/SZNB XXXXX-XXXX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0C3A9">
    <w:pPr>
      <w:jc w:val="right"/>
      <w:rPr>
        <w:rFonts w:hint="eastAsia" w:ascii="黑体" w:hAnsi="黑体" w:eastAsia="黑体" w:cs="黑体"/>
        <w:sz w:val="20"/>
        <w:szCs w:val="20"/>
      </w:rPr>
    </w:pPr>
  </w:p>
  <w:p w14:paraId="45BEFBD7">
    <w:pPr>
      <w:jc w:val="right"/>
      <w:rPr>
        <w:rFonts w:eastAsia="黑体"/>
      </w:rPr>
    </w:pPr>
    <w:r>
      <w:rPr>
        <w:rFonts w:hint="eastAsia" w:ascii="黑体" w:hAnsi="黑体" w:eastAsia="黑体" w:cs="黑体"/>
        <w:sz w:val="20"/>
        <w:szCs w:val="20"/>
      </w:rPr>
      <w:t>T/SZNB 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62F0">
    <w:pPr>
      <w:pStyle w:val="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CAE5B">
    <w:pPr>
      <w:pStyle w:val="5"/>
    </w:pPr>
  </w:p>
  <w:p w14:paraId="2659AB08">
    <w:pPr>
      <w:jc w:val="right"/>
      <w:rPr>
        <w:rFonts w:eastAsia="黑体"/>
      </w:rPr>
    </w:pPr>
    <w:r>
      <w:rPr>
        <w:rFonts w:hint="eastAsia" w:ascii="黑体" w:hAnsi="黑体" w:eastAsia="黑体" w:cs="黑体"/>
        <w:sz w:val="20"/>
        <w:szCs w:val="20"/>
      </w:rPr>
      <w:t>T/SZNB XXX-20XX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2164D">
    <w:pPr>
      <w:jc w:val="right"/>
      <w:rPr>
        <w:rFonts w:hint="eastAsia" w:ascii="黑体" w:hAnsi="黑体" w:eastAsia="黑体" w:cs="黑体"/>
        <w:sz w:val="20"/>
        <w:szCs w:val="20"/>
      </w:rPr>
    </w:pPr>
  </w:p>
  <w:p w14:paraId="075E6111">
    <w:pPr>
      <w:jc w:val="left"/>
    </w:pPr>
    <w:r>
      <w:rPr>
        <w:rFonts w:hint="eastAsia" w:ascii="黑体" w:hAnsi="黑体" w:eastAsia="黑体" w:cs="黑体"/>
        <w:sz w:val="20"/>
        <w:szCs w:val="20"/>
      </w:rPr>
      <w:t>T/SZNB XXXXX-XXXX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9EC13">
    <w:pPr>
      <w:pStyle w:val="5"/>
    </w:pPr>
  </w:p>
  <w:p w14:paraId="62326839">
    <w:pPr>
      <w:jc w:val="right"/>
      <w:rPr>
        <w:rFonts w:eastAsia="黑体"/>
      </w:rPr>
    </w:pPr>
    <w:r>
      <w:rPr>
        <w:rFonts w:hint="eastAsia" w:ascii="黑体" w:hAnsi="黑体" w:eastAsia="黑体" w:cs="黑体"/>
        <w:sz w:val="20"/>
        <w:szCs w:val="20"/>
      </w:rPr>
      <w:t>T/SZNB XXX-20XX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46FD1">
    <w:pPr>
      <w:pStyle w:val="5"/>
    </w:pPr>
  </w:p>
  <w:p w14:paraId="76F2A593">
    <w:pPr>
      <w:jc w:val="left"/>
      <w:rPr>
        <w:rFonts w:eastAsia="黑体"/>
      </w:rPr>
    </w:pPr>
    <w:r>
      <w:rPr>
        <w:rFonts w:hint="eastAsia" w:ascii="黑体" w:hAnsi="黑体" w:eastAsia="黑体" w:cs="黑体"/>
        <w:sz w:val="20"/>
        <w:szCs w:val="20"/>
      </w:rPr>
      <w:t>T/SZNB XXX-20XX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hYmMwYjU5NDM0ODllMWY5NzhkZDNlM2E1NzRlNjkifQ=="/>
  </w:docVars>
  <w:rsids>
    <w:rsidRoot w:val="00172A27"/>
    <w:rsid w:val="00042772"/>
    <w:rsid w:val="000874D1"/>
    <w:rsid w:val="000B03E8"/>
    <w:rsid w:val="00104942"/>
    <w:rsid w:val="00105DB1"/>
    <w:rsid w:val="00110E48"/>
    <w:rsid w:val="00172A27"/>
    <w:rsid w:val="0018482F"/>
    <w:rsid w:val="001857B8"/>
    <w:rsid w:val="001A41CC"/>
    <w:rsid w:val="001E0A2F"/>
    <w:rsid w:val="00204727"/>
    <w:rsid w:val="00207665"/>
    <w:rsid w:val="00222610"/>
    <w:rsid w:val="0024735B"/>
    <w:rsid w:val="00286634"/>
    <w:rsid w:val="0034626C"/>
    <w:rsid w:val="0038281E"/>
    <w:rsid w:val="003F5810"/>
    <w:rsid w:val="004137AA"/>
    <w:rsid w:val="00433519"/>
    <w:rsid w:val="0043666E"/>
    <w:rsid w:val="00436D9A"/>
    <w:rsid w:val="0044055A"/>
    <w:rsid w:val="004C0607"/>
    <w:rsid w:val="004D0F98"/>
    <w:rsid w:val="004E6500"/>
    <w:rsid w:val="0053372E"/>
    <w:rsid w:val="005365DD"/>
    <w:rsid w:val="0054573C"/>
    <w:rsid w:val="005C5061"/>
    <w:rsid w:val="00606136"/>
    <w:rsid w:val="00660EBE"/>
    <w:rsid w:val="00673A7B"/>
    <w:rsid w:val="006C08C5"/>
    <w:rsid w:val="006D340A"/>
    <w:rsid w:val="007562B1"/>
    <w:rsid w:val="0075669B"/>
    <w:rsid w:val="007702B5"/>
    <w:rsid w:val="007A49C1"/>
    <w:rsid w:val="007A6295"/>
    <w:rsid w:val="007A720C"/>
    <w:rsid w:val="007D41BE"/>
    <w:rsid w:val="008174B8"/>
    <w:rsid w:val="008730C4"/>
    <w:rsid w:val="008C6988"/>
    <w:rsid w:val="008D0A12"/>
    <w:rsid w:val="008E05B8"/>
    <w:rsid w:val="008E3794"/>
    <w:rsid w:val="008E5069"/>
    <w:rsid w:val="00906AF0"/>
    <w:rsid w:val="00914EDD"/>
    <w:rsid w:val="0092238A"/>
    <w:rsid w:val="00933B23"/>
    <w:rsid w:val="009409F5"/>
    <w:rsid w:val="009479B8"/>
    <w:rsid w:val="00954582"/>
    <w:rsid w:val="0097302F"/>
    <w:rsid w:val="009D0519"/>
    <w:rsid w:val="00A3295D"/>
    <w:rsid w:val="00A430BF"/>
    <w:rsid w:val="00A53121"/>
    <w:rsid w:val="00A65F7A"/>
    <w:rsid w:val="00A85A62"/>
    <w:rsid w:val="00A967DA"/>
    <w:rsid w:val="00AA709E"/>
    <w:rsid w:val="00AB2C62"/>
    <w:rsid w:val="00AD1C34"/>
    <w:rsid w:val="00AD2ECC"/>
    <w:rsid w:val="00AE52A8"/>
    <w:rsid w:val="00B3479E"/>
    <w:rsid w:val="00C044CC"/>
    <w:rsid w:val="00C20745"/>
    <w:rsid w:val="00C330A5"/>
    <w:rsid w:val="00C668AD"/>
    <w:rsid w:val="00C83A33"/>
    <w:rsid w:val="00D06D4F"/>
    <w:rsid w:val="00D50B4A"/>
    <w:rsid w:val="00D76F15"/>
    <w:rsid w:val="00D91270"/>
    <w:rsid w:val="00D9305A"/>
    <w:rsid w:val="00DC1E93"/>
    <w:rsid w:val="00E16B10"/>
    <w:rsid w:val="00E53FB2"/>
    <w:rsid w:val="00E818BB"/>
    <w:rsid w:val="00E92E8E"/>
    <w:rsid w:val="00E93E51"/>
    <w:rsid w:val="00EE0F41"/>
    <w:rsid w:val="00EE6496"/>
    <w:rsid w:val="00F142CD"/>
    <w:rsid w:val="00F32213"/>
    <w:rsid w:val="00F617D9"/>
    <w:rsid w:val="00F70A76"/>
    <w:rsid w:val="00FC20DB"/>
    <w:rsid w:val="00FD24D6"/>
    <w:rsid w:val="00FE0E16"/>
    <w:rsid w:val="00FF5DA9"/>
    <w:rsid w:val="023C4E17"/>
    <w:rsid w:val="023F0464"/>
    <w:rsid w:val="025C7268"/>
    <w:rsid w:val="029F6342"/>
    <w:rsid w:val="02E132C9"/>
    <w:rsid w:val="033C49A3"/>
    <w:rsid w:val="03455F4E"/>
    <w:rsid w:val="03CD6F59"/>
    <w:rsid w:val="03E80687"/>
    <w:rsid w:val="040C6A6B"/>
    <w:rsid w:val="041F592B"/>
    <w:rsid w:val="04207EF6"/>
    <w:rsid w:val="04AE18D1"/>
    <w:rsid w:val="04C609C8"/>
    <w:rsid w:val="04D1736D"/>
    <w:rsid w:val="05594913"/>
    <w:rsid w:val="057F5A7D"/>
    <w:rsid w:val="059A3C03"/>
    <w:rsid w:val="06071298"/>
    <w:rsid w:val="067D59FE"/>
    <w:rsid w:val="069A65B0"/>
    <w:rsid w:val="073370C8"/>
    <w:rsid w:val="073F3F10"/>
    <w:rsid w:val="07534FA5"/>
    <w:rsid w:val="0776738C"/>
    <w:rsid w:val="07D16002"/>
    <w:rsid w:val="07DB478B"/>
    <w:rsid w:val="07EC2E3C"/>
    <w:rsid w:val="08114650"/>
    <w:rsid w:val="08272C43"/>
    <w:rsid w:val="08514A4D"/>
    <w:rsid w:val="0869448C"/>
    <w:rsid w:val="086E1AA3"/>
    <w:rsid w:val="088C1F29"/>
    <w:rsid w:val="08C8540D"/>
    <w:rsid w:val="08FB21D2"/>
    <w:rsid w:val="0904300C"/>
    <w:rsid w:val="0935436E"/>
    <w:rsid w:val="093745E5"/>
    <w:rsid w:val="09497E1A"/>
    <w:rsid w:val="095F2C44"/>
    <w:rsid w:val="098552F6"/>
    <w:rsid w:val="098B7284"/>
    <w:rsid w:val="09A950D4"/>
    <w:rsid w:val="09F064E7"/>
    <w:rsid w:val="09F63B81"/>
    <w:rsid w:val="0A1246B0"/>
    <w:rsid w:val="0A3665F0"/>
    <w:rsid w:val="0A825391"/>
    <w:rsid w:val="0A8530D4"/>
    <w:rsid w:val="0A8E1FF5"/>
    <w:rsid w:val="0AB22670"/>
    <w:rsid w:val="0B1F0E32"/>
    <w:rsid w:val="0B2E72C7"/>
    <w:rsid w:val="0B3D575C"/>
    <w:rsid w:val="0B492353"/>
    <w:rsid w:val="0B4E34C6"/>
    <w:rsid w:val="0B6E6353"/>
    <w:rsid w:val="0B8564F6"/>
    <w:rsid w:val="0B892750"/>
    <w:rsid w:val="0B953A4F"/>
    <w:rsid w:val="0BAA1044"/>
    <w:rsid w:val="0BD04822"/>
    <w:rsid w:val="0C38590F"/>
    <w:rsid w:val="0CC31C91"/>
    <w:rsid w:val="0D1A3FA7"/>
    <w:rsid w:val="0DAC4BAD"/>
    <w:rsid w:val="0E082052"/>
    <w:rsid w:val="0E1516DC"/>
    <w:rsid w:val="0E563646"/>
    <w:rsid w:val="0E6179B4"/>
    <w:rsid w:val="0E925714"/>
    <w:rsid w:val="0EFB5712"/>
    <w:rsid w:val="0F6477E6"/>
    <w:rsid w:val="0F87169C"/>
    <w:rsid w:val="0FA20891"/>
    <w:rsid w:val="0FC954E5"/>
    <w:rsid w:val="0FEA39FA"/>
    <w:rsid w:val="0FF36F9B"/>
    <w:rsid w:val="0FFB0C72"/>
    <w:rsid w:val="104B001D"/>
    <w:rsid w:val="105A46BB"/>
    <w:rsid w:val="10741C20"/>
    <w:rsid w:val="10B169D0"/>
    <w:rsid w:val="11405FA6"/>
    <w:rsid w:val="11B86CCE"/>
    <w:rsid w:val="11E15093"/>
    <w:rsid w:val="12413D84"/>
    <w:rsid w:val="126420FA"/>
    <w:rsid w:val="127C6BC4"/>
    <w:rsid w:val="128A3A8D"/>
    <w:rsid w:val="12DD0FDE"/>
    <w:rsid w:val="12EF1A32"/>
    <w:rsid w:val="13426006"/>
    <w:rsid w:val="139525D9"/>
    <w:rsid w:val="13D03611"/>
    <w:rsid w:val="13D76995"/>
    <w:rsid w:val="13F60424"/>
    <w:rsid w:val="13FF7A53"/>
    <w:rsid w:val="1417253D"/>
    <w:rsid w:val="14194530"/>
    <w:rsid w:val="142B0848"/>
    <w:rsid w:val="14410D33"/>
    <w:rsid w:val="144E4536"/>
    <w:rsid w:val="147937A9"/>
    <w:rsid w:val="149A3C1F"/>
    <w:rsid w:val="14B05B63"/>
    <w:rsid w:val="14DE61A4"/>
    <w:rsid w:val="1518015B"/>
    <w:rsid w:val="154A2F50"/>
    <w:rsid w:val="15572A1D"/>
    <w:rsid w:val="15BB5BFB"/>
    <w:rsid w:val="164B44B0"/>
    <w:rsid w:val="166B5873"/>
    <w:rsid w:val="167C0AF5"/>
    <w:rsid w:val="16AE5B13"/>
    <w:rsid w:val="16B0772A"/>
    <w:rsid w:val="16CC55AB"/>
    <w:rsid w:val="16CF5E02"/>
    <w:rsid w:val="16F733EF"/>
    <w:rsid w:val="1700420E"/>
    <w:rsid w:val="17283764"/>
    <w:rsid w:val="17391DC5"/>
    <w:rsid w:val="176F6C9D"/>
    <w:rsid w:val="17795D6E"/>
    <w:rsid w:val="17B15508"/>
    <w:rsid w:val="17EF7DDE"/>
    <w:rsid w:val="181932C1"/>
    <w:rsid w:val="18567E5D"/>
    <w:rsid w:val="187077B5"/>
    <w:rsid w:val="187A3B4C"/>
    <w:rsid w:val="187C2C84"/>
    <w:rsid w:val="187D188E"/>
    <w:rsid w:val="18893D8F"/>
    <w:rsid w:val="18A20777"/>
    <w:rsid w:val="18EC312C"/>
    <w:rsid w:val="1922362F"/>
    <w:rsid w:val="192D38C8"/>
    <w:rsid w:val="19707BCF"/>
    <w:rsid w:val="19921369"/>
    <w:rsid w:val="19971B35"/>
    <w:rsid w:val="19B65058"/>
    <w:rsid w:val="1A1A3838"/>
    <w:rsid w:val="1A367F46"/>
    <w:rsid w:val="1A440C91"/>
    <w:rsid w:val="1A9B1AC5"/>
    <w:rsid w:val="1AB06F40"/>
    <w:rsid w:val="1ADF413A"/>
    <w:rsid w:val="1AE45BF4"/>
    <w:rsid w:val="1B08091C"/>
    <w:rsid w:val="1B0C61C6"/>
    <w:rsid w:val="1B3F2E2B"/>
    <w:rsid w:val="1BA3785E"/>
    <w:rsid w:val="1BCD6688"/>
    <w:rsid w:val="1C00080C"/>
    <w:rsid w:val="1C504193"/>
    <w:rsid w:val="1C872CDB"/>
    <w:rsid w:val="1CB6536F"/>
    <w:rsid w:val="1D077978"/>
    <w:rsid w:val="1D1515CB"/>
    <w:rsid w:val="1D2A2354"/>
    <w:rsid w:val="1D547061"/>
    <w:rsid w:val="1D6B330B"/>
    <w:rsid w:val="1DE5415D"/>
    <w:rsid w:val="1E2C658F"/>
    <w:rsid w:val="1E935967"/>
    <w:rsid w:val="1E9A6CF6"/>
    <w:rsid w:val="1EB76E7B"/>
    <w:rsid w:val="1ED57D2E"/>
    <w:rsid w:val="1EFF2FFD"/>
    <w:rsid w:val="1F3D58D3"/>
    <w:rsid w:val="1F7A08D5"/>
    <w:rsid w:val="1F941997"/>
    <w:rsid w:val="1FC61D6D"/>
    <w:rsid w:val="1FEE5E20"/>
    <w:rsid w:val="200A7EAB"/>
    <w:rsid w:val="204B4397"/>
    <w:rsid w:val="205630F0"/>
    <w:rsid w:val="20983709"/>
    <w:rsid w:val="20990E39"/>
    <w:rsid w:val="20AF1A68"/>
    <w:rsid w:val="20B63B8F"/>
    <w:rsid w:val="20BC7603"/>
    <w:rsid w:val="210922D5"/>
    <w:rsid w:val="213F0E29"/>
    <w:rsid w:val="21436CCA"/>
    <w:rsid w:val="21FC1A76"/>
    <w:rsid w:val="22230DB0"/>
    <w:rsid w:val="223C00C4"/>
    <w:rsid w:val="22550BDA"/>
    <w:rsid w:val="225D758A"/>
    <w:rsid w:val="22602004"/>
    <w:rsid w:val="227855A0"/>
    <w:rsid w:val="22AE0FC2"/>
    <w:rsid w:val="22DF6424"/>
    <w:rsid w:val="233A2855"/>
    <w:rsid w:val="23694EE9"/>
    <w:rsid w:val="23750F37"/>
    <w:rsid w:val="23DE58D7"/>
    <w:rsid w:val="23E97DD8"/>
    <w:rsid w:val="243454F7"/>
    <w:rsid w:val="24B403E6"/>
    <w:rsid w:val="24D80A66"/>
    <w:rsid w:val="25164BFC"/>
    <w:rsid w:val="25184E18"/>
    <w:rsid w:val="251E29A3"/>
    <w:rsid w:val="25203CCD"/>
    <w:rsid w:val="25247D9C"/>
    <w:rsid w:val="254026D2"/>
    <w:rsid w:val="259C77F7"/>
    <w:rsid w:val="26014112"/>
    <w:rsid w:val="2698203F"/>
    <w:rsid w:val="26BC5523"/>
    <w:rsid w:val="26D46B1D"/>
    <w:rsid w:val="26F61189"/>
    <w:rsid w:val="270A0791"/>
    <w:rsid w:val="27351CB2"/>
    <w:rsid w:val="275D6B12"/>
    <w:rsid w:val="27644471"/>
    <w:rsid w:val="27790611"/>
    <w:rsid w:val="279A7D67"/>
    <w:rsid w:val="27BA5D13"/>
    <w:rsid w:val="27DD1A0C"/>
    <w:rsid w:val="285A2FA5"/>
    <w:rsid w:val="28E47092"/>
    <w:rsid w:val="29003BF9"/>
    <w:rsid w:val="290D6316"/>
    <w:rsid w:val="293D6BFB"/>
    <w:rsid w:val="2987256D"/>
    <w:rsid w:val="29995DFC"/>
    <w:rsid w:val="29C2218D"/>
    <w:rsid w:val="2A17569E"/>
    <w:rsid w:val="2B073965"/>
    <w:rsid w:val="2B30453E"/>
    <w:rsid w:val="2B3C0B26"/>
    <w:rsid w:val="2B8F603A"/>
    <w:rsid w:val="2BC453B2"/>
    <w:rsid w:val="2C0B1233"/>
    <w:rsid w:val="2C370A84"/>
    <w:rsid w:val="2C5F50DB"/>
    <w:rsid w:val="2C9156BC"/>
    <w:rsid w:val="2CA553C6"/>
    <w:rsid w:val="2CD37E34"/>
    <w:rsid w:val="2D124A3A"/>
    <w:rsid w:val="2D426ED6"/>
    <w:rsid w:val="2D4542D1"/>
    <w:rsid w:val="2D4C1B03"/>
    <w:rsid w:val="2D5A729F"/>
    <w:rsid w:val="2D6D489C"/>
    <w:rsid w:val="2D960FD0"/>
    <w:rsid w:val="2DB06BE4"/>
    <w:rsid w:val="2DE00249"/>
    <w:rsid w:val="2E1F6512"/>
    <w:rsid w:val="2E352597"/>
    <w:rsid w:val="2E7F1A64"/>
    <w:rsid w:val="2EA63495"/>
    <w:rsid w:val="2EBD1ECE"/>
    <w:rsid w:val="2F473916"/>
    <w:rsid w:val="2FC00586"/>
    <w:rsid w:val="2FC811E9"/>
    <w:rsid w:val="2FEF2C1A"/>
    <w:rsid w:val="30123BB6"/>
    <w:rsid w:val="30167D2B"/>
    <w:rsid w:val="303643A5"/>
    <w:rsid w:val="30637A5C"/>
    <w:rsid w:val="306A0211"/>
    <w:rsid w:val="315B4AFA"/>
    <w:rsid w:val="3179760E"/>
    <w:rsid w:val="317A57A7"/>
    <w:rsid w:val="31A16195"/>
    <w:rsid w:val="31BB7257"/>
    <w:rsid w:val="31F66987"/>
    <w:rsid w:val="31FB0FAC"/>
    <w:rsid w:val="32325077"/>
    <w:rsid w:val="32385C4C"/>
    <w:rsid w:val="3294550E"/>
    <w:rsid w:val="33557238"/>
    <w:rsid w:val="33745910"/>
    <w:rsid w:val="33F72C59"/>
    <w:rsid w:val="3402116D"/>
    <w:rsid w:val="348363C8"/>
    <w:rsid w:val="34CD7BB4"/>
    <w:rsid w:val="34CE72A2"/>
    <w:rsid w:val="34D13403"/>
    <w:rsid w:val="35301D0A"/>
    <w:rsid w:val="35415CC5"/>
    <w:rsid w:val="355D635D"/>
    <w:rsid w:val="356C2617"/>
    <w:rsid w:val="358F3D18"/>
    <w:rsid w:val="358F4C83"/>
    <w:rsid w:val="35C04BE3"/>
    <w:rsid w:val="35C6441D"/>
    <w:rsid w:val="3627310D"/>
    <w:rsid w:val="3667175C"/>
    <w:rsid w:val="369B31B3"/>
    <w:rsid w:val="36EA5A89"/>
    <w:rsid w:val="375872F6"/>
    <w:rsid w:val="37DC3A83"/>
    <w:rsid w:val="38743CBC"/>
    <w:rsid w:val="387A2A97"/>
    <w:rsid w:val="3885236D"/>
    <w:rsid w:val="38D64977"/>
    <w:rsid w:val="38D94467"/>
    <w:rsid w:val="391C6B43"/>
    <w:rsid w:val="394C70D9"/>
    <w:rsid w:val="39AA6850"/>
    <w:rsid w:val="39B51BBA"/>
    <w:rsid w:val="39DC5FBD"/>
    <w:rsid w:val="3A2E25DB"/>
    <w:rsid w:val="3A392096"/>
    <w:rsid w:val="3A756FBA"/>
    <w:rsid w:val="3A92643A"/>
    <w:rsid w:val="3ACD1DA9"/>
    <w:rsid w:val="3B660234"/>
    <w:rsid w:val="3BBA0580"/>
    <w:rsid w:val="3BBE02A1"/>
    <w:rsid w:val="3BDF1D94"/>
    <w:rsid w:val="3BEE0229"/>
    <w:rsid w:val="3C26517B"/>
    <w:rsid w:val="3C8C324E"/>
    <w:rsid w:val="3C9708C1"/>
    <w:rsid w:val="3CBB481E"/>
    <w:rsid w:val="3CCF1E09"/>
    <w:rsid w:val="3D2739F3"/>
    <w:rsid w:val="3D5C3A0F"/>
    <w:rsid w:val="3D673DEF"/>
    <w:rsid w:val="3DAA3C15"/>
    <w:rsid w:val="3DBA6A6E"/>
    <w:rsid w:val="3DBF4698"/>
    <w:rsid w:val="3DF5049F"/>
    <w:rsid w:val="3E111FAD"/>
    <w:rsid w:val="3E285C74"/>
    <w:rsid w:val="3E5E1696"/>
    <w:rsid w:val="3E921340"/>
    <w:rsid w:val="3ECD6BDA"/>
    <w:rsid w:val="3EED2ADA"/>
    <w:rsid w:val="3F277CDA"/>
    <w:rsid w:val="3F9609BC"/>
    <w:rsid w:val="3F9B06C8"/>
    <w:rsid w:val="3FA95193"/>
    <w:rsid w:val="3FB377C0"/>
    <w:rsid w:val="40512B35"/>
    <w:rsid w:val="40526FD9"/>
    <w:rsid w:val="405D597D"/>
    <w:rsid w:val="406311E6"/>
    <w:rsid w:val="407C2437"/>
    <w:rsid w:val="40925627"/>
    <w:rsid w:val="40A640F5"/>
    <w:rsid w:val="40C1415E"/>
    <w:rsid w:val="410C362B"/>
    <w:rsid w:val="411C1395"/>
    <w:rsid w:val="41B80A98"/>
    <w:rsid w:val="41BE671B"/>
    <w:rsid w:val="41D34149"/>
    <w:rsid w:val="41E966E6"/>
    <w:rsid w:val="42117C6C"/>
    <w:rsid w:val="4255690C"/>
    <w:rsid w:val="425A2175"/>
    <w:rsid w:val="426223B3"/>
    <w:rsid w:val="42E934F8"/>
    <w:rsid w:val="43413334"/>
    <w:rsid w:val="43B44D4F"/>
    <w:rsid w:val="43D10ED3"/>
    <w:rsid w:val="43E443EC"/>
    <w:rsid w:val="43F244D6"/>
    <w:rsid w:val="444063E5"/>
    <w:rsid w:val="44466E54"/>
    <w:rsid w:val="444A7FC7"/>
    <w:rsid w:val="44670B79"/>
    <w:rsid w:val="449C1EAE"/>
    <w:rsid w:val="44DE19E8"/>
    <w:rsid w:val="45110652"/>
    <w:rsid w:val="45B87B00"/>
    <w:rsid w:val="460F771A"/>
    <w:rsid w:val="467A3826"/>
    <w:rsid w:val="46B34549"/>
    <w:rsid w:val="46B86179"/>
    <w:rsid w:val="475F67B7"/>
    <w:rsid w:val="47A65E5C"/>
    <w:rsid w:val="47DE73A4"/>
    <w:rsid w:val="48F618EF"/>
    <w:rsid w:val="4933371F"/>
    <w:rsid w:val="49562CA4"/>
    <w:rsid w:val="49627B61"/>
    <w:rsid w:val="4978536C"/>
    <w:rsid w:val="497E0E3E"/>
    <w:rsid w:val="49E51A59"/>
    <w:rsid w:val="49F20EE5"/>
    <w:rsid w:val="4A5E2A1E"/>
    <w:rsid w:val="4A743FEF"/>
    <w:rsid w:val="4A9368C4"/>
    <w:rsid w:val="4AB10DA0"/>
    <w:rsid w:val="4ACD66C3"/>
    <w:rsid w:val="4B404E95"/>
    <w:rsid w:val="4B4340EE"/>
    <w:rsid w:val="4B8A2450"/>
    <w:rsid w:val="4B8B339F"/>
    <w:rsid w:val="4BA33E21"/>
    <w:rsid w:val="4BC74904"/>
    <w:rsid w:val="4C561BFF"/>
    <w:rsid w:val="4C5916EF"/>
    <w:rsid w:val="4C7958ED"/>
    <w:rsid w:val="4CAA5AA7"/>
    <w:rsid w:val="4CE31FB9"/>
    <w:rsid w:val="4D041134"/>
    <w:rsid w:val="4D090A1F"/>
    <w:rsid w:val="4D673998"/>
    <w:rsid w:val="4DAF792D"/>
    <w:rsid w:val="4DBC0187"/>
    <w:rsid w:val="4DD10233"/>
    <w:rsid w:val="4DE66FB2"/>
    <w:rsid w:val="4E12415A"/>
    <w:rsid w:val="4E140DE4"/>
    <w:rsid w:val="4E847587"/>
    <w:rsid w:val="4E9B7D9D"/>
    <w:rsid w:val="4E9E6CEF"/>
    <w:rsid w:val="4EAB5EF2"/>
    <w:rsid w:val="4EAD5D22"/>
    <w:rsid w:val="4F271152"/>
    <w:rsid w:val="4F307CC2"/>
    <w:rsid w:val="4F455F5A"/>
    <w:rsid w:val="4F6665FD"/>
    <w:rsid w:val="4F756840"/>
    <w:rsid w:val="4F764366"/>
    <w:rsid w:val="4F9F566B"/>
    <w:rsid w:val="4FA669F9"/>
    <w:rsid w:val="501F02D8"/>
    <w:rsid w:val="50281945"/>
    <w:rsid w:val="50632B3C"/>
    <w:rsid w:val="5092008F"/>
    <w:rsid w:val="50E27F05"/>
    <w:rsid w:val="51031C29"/>
    <w:rsid w:val="512F6EC2"/>
    <w:rsid w:val="51A056CA"/>
    <w:rsid w:val="51E901C2"/>
    <w:rsid w:val="51FE0D6E"/>
    <w:rsid w:val="52102850"/>
    <w:rsid w:val="524B1ADA"/>
    <w:rsid w:val="52AA0987"/>
    <w:rsid w:val="52D95337"/>
    <w:rsid w:val="52E8647A"/>
    <w:rsid w:val="52E8656E"/>
    <w:rsid w:val="52FD2A91"/>
    <w:rsid w:val="533662E6"/>
    <w:rsid w:val="53690E2A"/>
    <w:rsid w:val="537F5EDF"/>
    <w:rsid w:val="53A019B1"/>
    <w:rsid w:val="53D8114B"/>
    <w:rsid w:val="53E619C7"/>
    <w:rsid w:val="54104D89"/>
    <w:rsid w:val="546A2443"/>
    <w:rsid w:val="54B35714"/>
    <w:rsid w:val="5507618C"/>
    <w:rsid w:val="550D249D"/>
    <w:rsid w:val="5536081F"/>
    <w:rsid w:val="557430F6"/>
    <w:rsid w:val="559C3632"/>
    <w:rsid w:val="55BC79F4"/>
    <w:rsid w:val="55EA33B8"/>
    <w:rsid w:val="560A5808"/>
    <w:rsid w:val="56431446"/>
    <w:rsid w:val="56603EC0"/>
    <w:rsid w:val="56692FD1"/>
    <w:rsid w:val="56764C4B"/>
    <w:rsid w:val="567C6706"/>
    <w:rsid w:val="56946011"/>
    <w:rsid w:val="56A1468B"/>
    <w:rsid w:val="56C35464"/>
    <w:rsid w:val="57234DD3"/>
    <w:rsid w:val="57454D4A"/>
    <w:rsid w:val="575D6537"/>
    <w:rsid w:val="579932E7"/>
    <w:rsid w:val="579C4AA3"/>
    <w:rsid w:val="57EE53E1"/>
    <w:rsid w:val="57FF75EE"/>
    <w:rsid w:val="580A5802"/>
    <w:rsid w:val="580C6CA6"/>
    <w:rsid w:val="582C415B"/>
    <w:rsid w:val="583A23D4"/>
    <w:rsid w:val="58654F91"/>
    <w:rsid w:val="588875E4"/>
    <w:rsid w:val="58C44394"/>
    <w:rsid w:val="58D17048"/>
    <w:rsid w:val="58D95E36"/>
    <w:rsid w:val="595F6A27"/>
    <w:rsid w:val="59605E6B"/>
    <w:rsid w:val="596516D3"/>
    <w:rsid w:val="59AF2EAE"/>
    <w:rsid w:val="5A0233C6"/>
    <w:rsid w:val="5A3B2434"/>
    <w:rsid w:val="5A9D6C4B"/>
    <w:rsid w:val="5AB96C8E"/>
    <w:rsid w:val="5B300A18"/>
    <w:rsid w:val="5B876AF2"/>
    <w:rsid w:val="5BA65FD3"/>
    <w:rsid w:val="5BFE3533"/>
    <w:rsid w:val="5C177509"/>
    <w:rsid w:val="5C3D6937"/>
    <w:rsid w:val="5C7D31D8"/>
    <w:rsid w:val="5D795DB7"/>
    <w:rsid w:val="5E2B6979"/>
    <w:rsid w:val="5E686EC8"/>
    <w:rsid w:val="5E794CEB"/>
    <w:rsid w:val="5EB64043"/>
    <w:rsid w:val="5EE61D7E"/>
    <w:rsid w:val="5F0E0117"/>
    <w:rsid w:val="5F225655"/>
    <w:rsid w:val="5F6B20BC"/>
    <w:rsid w:val="5F710660"/>
    <w:rsid w:val="5F7335FB"/>
    <w:rsid w:val="5F7563E8"/>
    <w:rsid w:val="5FB23198"/>
    <w:rsid w:val="5FF612D7"/>
    <w:rsid w:val="5FFE0D48"/>
    <w:rsid w:val="602221AB"/>
    <w:rsid w:val="60A41C39"/>
    <w:rsid w:val="60B03A6C"/>
    <w:rsid w:val="60B116A2"/>
    <w:rsid w:val="60CE4002"/>
    <w:rsid w:val="612C2AD6"/>
    <w:rsid w:val="61357BDD"/>
    <w:rsid w:val="6162474A"/>
    <w:rsid w:val="6164671D"/>
    <w:rsid w:val="619856F0"/>
    <w:rsid w:val="61E810F3"/>
    <w:rsid w:val="621D5D72"/>
    <w:rsid w:val="625F6BA1"/>
    <w:rsid w:val="62682234"/>
    <w:rsid w:val="62713F31"/>
    <w:rsid w:val="628F77C1"/>
    <w:rsid w:val="629209C1"/>
    <w:rsid w:val="62DA75ED"/>
    <w:rsid w:val="62F045A5"/>
    <w:rsid w:val="63062529"/>
    <w:rsid w:val="631B2E02"/>
    <w:rsid w:val="63340D40"/>
    <w:rsid w:val="635F53E5"/>
    <w:rsid w:val="63752C43"/>
    <w:rsid w:val="638F7399"/>
    <w:rsid w:val="643E4FFA"/>
    <w:rsid w:val="64925346"/>
    <w:rsid w:val="64A84B6A"/>
    <w:rsid w:val="65271F32"/>
    <w:rsid w:val="654E3963"/>
    <w:rsid w:val="65566374"/>
    <w:rsid w:val="65815AE7"/>
    <w:rsid w:val="65DF6E16"/>
    <w:rsid w:val="65F8567D"/>
    <w:rsid w:val="65FF07B9"/>
    <w:rsid w:val="661F1263"/>
    <w:rsid w:val="66212E26"/>
    <w:rsid w:val="662B7800"/>
    <w:rsid w:val="66320B8F"/>
    <w:rsid w:val="665E1167"/>
    <w:rsid w:val="666B40A1"/>
    <w:rsid w:val="6694184A"/>
    <w:rsid w:val="66D63C10"/>
    <w:rsid w:val="670A6F4B"/>
    <w:rsid w:val="6785559A"/>
    <w:rsid w:val="67917B37"/>
    <w:rsid w:val="679638C8"/>
    <w:rsid w:val="67EC1211"/>
    <w:rsid w:val="67FD40E6"/>
    <w:rsid w:val="68112D49"/>
    <w:rsid w:val="68242759"/>
    <w:rsid w:val="683A7D85"/>
    <w:rsid w:val="68480CB8"/>
    <w:rsid w:val="689F5992"/>
    <w:rsid w:val="68A11FFC"/>
    <w:rsid w:val="68A268C6"/>
    <w:rsid w:val="68A815DC"/>
    <w:rsid w:val="68BB30BE"/>
    <w:rsid w:val="68CD4B9F"/>
    <w:rsid w:val="68D75A1D"/>
    <w:rsid w:val="68E329CB"/>
    <w:rsid w:val="68EF2D67"/>
    <w:rsid w:val="69136E37"/>
    <w:rsid w:val="69386049"/>
    <w:rsid w:val="696C085C"/>
    <w:rsid w:val="697C2D44"/>
    <w:rsid w:val="6A2531A4"/>
    <w:rsid w:val="6A5247FE"/>
    <w:rsid w:val="6A97281C"/>
    <w:rsid w:val="6AA77490"/>
    <w:rsid w:val="6B0C3838"/>
    <w:rsid w:val="6B19231D"/>
    <w:rsid w:val="6BDF3567"/>
    <w:rsid w:val="6C04688D"/>
    <w:rsid w:val="6C3C4515"/>
    <w:rsid w:val="6C4B29AA"/>
    <w:rsid w:val="6C861C34"/>
    <w:rsid w:val="6D0B213A"/>
    <w:rsid w:val="6D210722"/>
    <w:rsid w:val="6D6A50B2"/>
    <w:rsid w:val="6D6D06FE"/>
    <w:rsid w:val="6DCF13B9"/>
    <w:rsid w:val="6DD469CF"/>
    <w:rsid w:val="6DEF55B7"/>
    <w:rsid w:val="6E005A16"/>
    <w:rsid w:val="6E1F40EF"/>
    <w:rsid w:val="6E361438"/>
    <w:rsid w:val="6E647D53"/>
    <w:rsid w:val="6EB507F9"/>
    <w:rsid w:val="6EBB7AAC"/>
    <w:rsid w:val="6EBE3907"/>
    <w:rsid w:val="6F42234A"/>
    <w:rsid w:val="6F5778B8"/>
    <w:rsid w:val="701C72FC"/>
    <w:rsid w:val="703B4AE4"/>
    <w:rsid w:val="704E4817"/>
    <w:rsid w:val="707324D0"/>
    <w:rsid w:val="707A2CDA"/>
    <w:rsid w:val="707B2F94"/>
    <w:rsid w:val="71242CE0"/>
    <w:rsid w:val="712B6906"/>
    <w:rsid w:val="714C3197"/>
    <w:rsid w:val="718A67BF"/>
    <w:rsid w:val="71D64AC4"/>
    <w:rsid w:val="71ED62B2"/>
    <w:rsid w:val="72021D5D"/>
    <w:rsid w:val="728C73A4"/>
    <w:rsid w:val="72C07522"/>
    <w:rsid w:val="732F29F0"/>
    <w:rsid w:val="73852C46"/>
    <w:rsid w:val="73F1776E"/>
    <w:rsid w:val="746F2FAE"/>
    <w:rsid w:val="747507D3"/>
    <w:rsid w:val="74DF0134"/>
    <w:rsid w:val="74FC0CE6"/>
    <w:rsid w:val="75071439"/>
    <w:rsid w:val="75263FB5"/>
    <w:rsid w:val="75CC285F"/>
    <w:rsid w:val="7645046A"/>
    <w:rsid w:val="76472C35"/>
    <w:rsid w:val="764741E2"/>
    <w:rsid w:val="76515061"/>
    <w:rsid w:val="768857E3"/>
    <w:rsid w:val="76D90BB3"/>
    <w:rsid w:val="77004391"/>
    <w:rsid w:val="773521BD"/>
    <w:rsid w:val="77B265EF"/>
    <w:rsid w:val="77BC29AE"/>
    <w:rsid w:val="77D726AA"/>
    <w:rsid w:val="78324A1E"/>
    <w:rsid w:val="787119EB"/>
    <w:rsid w:val="788C7B51"/>
    <w:rsid w:val="78992CEF"/>
    <w:rsid w:val="78B4669B"/>
    <w:rsid w:val="791F1447"/>
    <w:rsid w:val="798017B9"/>
    <w:rsid w:val="79874F5A"/>
    <w:rsid w:val="79876FEC"/>
    <w:rsid w:val="79A40BFC"/>
    <w:rsid w:val="79BE766A"/>
    <w:rsid w:val="79CE69C9"/>
    <w:rsid w:val="79F93A46"/>
    <w:rsid w:val="7A150154"/>
    <w:rsid w:val="7A205476"/>
    <w:rsid w:val="7A707A80"/>
    <w:rsid w:val="7A92650D"/>
    <w:rsid w:val="7A9A4854"/>
    <w:rsid w:val="7A9F2A21"/>
    <w:rsid w:val="7AE81CBF"/>
    <w:rsid w:val="7AEE7323"/>
    <w:rsid w:val="7B242D44"/>
    <w:rsid w:val="7B560A24"/>
    <w:rsid w:val="7B595909"/>
    <w:rsid w:val="7B5B428C"/>
    <w:rsid w:val="7B8008BE"/>
    <w:rsid w:val="7B851309"/>
    <w:rsid w:val="7B86755B"/>
    <w:rsid w:val="7BA23C69"/>
    <w:rsid w:val="7BBC7AD9"/>
    <w:rsid w:val="7BCC0CE6"/>
    <w:rsid w:val="7C105077"/>
    <w:rsid w:val="7C156B31"/>
    <w:rsid w:val="7C2B0625"/>
    <w:rsid w:val="7C6158D2"/>
    <w:rsid w:val="7C8E41ED"/>
    <w:rsid w:val="7D0851CF"/>
    <w:rsid w:val="7D344D95"/>
    <w:rsid w:val="7D5D078F"/>
    <w:rsid w:val="7D6E602A"/>
    <w:rsid w:val="7D9677FD"/>
    <w:rsid w:val="7DCB0D9E"/>
    <w:rsid w:val="7DD6409E"/>
    <w:rsid w:val="7E0F0A9B"/>
    <w:rsid w:val="7E4D25B2"/>
    <w:rsid w:val="7E8B30DA"/>
    <w:rsid w:val="7E951A78"/>
    <w:rsid w:val="7EC81C39"/>
    <w:rsid w:val="7ED07AA4"/>
    <w:rsid w:val="7ED122C0"/>
    <w:rsid w:val="7ED85951"/>
    <w:rsid w:val="7F0C5FC9"/>
    <w:rsid w:val="7F2A69C2"/>
    <w:rsid w:val="7F376371"/>
    <w:rsid w:val="7F3948E4"/>
    <w:rsid w:val="7F60744D"/>
    <w:rsid w:val="7F6D73F7"/>
    <w:rsid w:val="7F9C7CF1"/>
    <w:rsid w:val="7F9E0BEB"/>
    <w:rsid w:val="7FAE0E2E"/>
    <w:rsid w:val="7FBF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WPSOffice手动目录 1"/>
    <w:qFormat/>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e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1880</Words>
  <Characters>2453</Characters>
  <Lines>29</Lines>
  <Paragraphs>8</Paragraphs>
  <TotalTime>8</TotalTime>
  <ScaleCrop>false</ScaleCrop>
  <LinksUpToDate>false</LinksUpToDate>
  <CharactersWithSpaces>2929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2024-09-27T06:53:00Z</dcterms:created>
  <dc:creator>Fafa</dc:creator>
  <cp:lastModifiedBy>陌殇</cp:lastModifiedBy>
  <cp:lastPrinted>2024-10-22T00:16:00Z</cp:lastPrinted>
  <dcterms:modified xsi:type="dcterms:W3CDTF">2025-05-14T02:04:22Z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72BE29DA57F44BCA94F4BD7E4789AA16_11</vt:lpwstr>
  </property>
  <property fmtid="{D5CDD505-2E9C-101B-9397-08002B2CF9AE}" pid="4" name="KSOTemplateDocerSaveRecord">
    <vt:lpwstr>eyJoZGlkIjoiZjNhMWZiZjQ4YTFjMmFiYmM5OTAzMDJmZjc3NTQyZGUiLCJ1c2VySWQiOiIyNjY5NzMxMDUifQ==</vt:lpwstr>
  </property>
</Properties>
</file>